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76E02" Type="http://schemas.openxmlformats.org/officeDocument/2006/relationships/officeDocument" Target="/word/document.xml" /><Relationship Id="coreR76376E02" Type="http://schemas.openxmlformats.org/package/2006/relationships/metadata/core-properties" Target="/docProps/core.xml" /><Relationship Id="customR76376E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 do: 05.07.2026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21:42:07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Sb.,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a vysvětlit cíle evropského nařízení GDPR (nařízení Evropského parlamentu a Rady EU 2016/679 ze dne 27. dubna 2016 o ochraně fyzických osob v souvislosti se zpracováním osobních údajů a o volném pohybu těchto údajů a o zrušení směrnice 95/46/ES - obecné nařízení o ochraně osobních údajů), ve znění pozdějších předpisů a jeho vztah k ochraně informací v organizaci</w:t>
      </w:r>
    </w:p>
    <w:p>
      <w:pPr>
        <w:pStyle w:val="P28"/>
        <w:framePr w:w="3921" w:h="1504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d)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30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53"/>
        <w:rPr>
          <w:rStyle w:val="C18"/>
          <w:rtl w:val="0"/>
        </w:rPr>
      </w:pPr>
      <w:r>
        <w:rPr>
          <w:rStyle w:val="C18"/>
          <w:rtl w:val="0"/>
        </w:rPr>
        <w:t>Uplatňování zásad auditu kybernetické bezpečnosti</w:t>
      </w:r>
    </w:p>
    <w:p>
      <w:pPr>
        <w:pStyle w:val="P24"/>
        <w:framePr w:w="6713" w:h="376" w:hRule="exact" w:wrap="none" w:vAnchor="page" w:hAnchor="margin" w:x="45" w:y="93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a) Popsat metodiku auditu kybernetické bezpečnosti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04"/>
        <w:rPr>
          <w:rStyle w:val="C13"/>
          <w:rtl w:val="0"/>
        </w:rPr>
      </w:pPr>
      <w:r>
        <w:rPr>
          <w:rStyle w:val="C13"/>
          <w:rtl w:val="0"/>
        </w:rPr>
        <w:t>b) Identifikovat a aplikovat principy auditování v oblasti kybernetické bezpečnosti podle zadaného příkladu</w:t>
      </w:r>
    </w:p>
    <w:p>
      <w:pPr>
        <w:pStyle w:val="P30"/>
        <w:framePr w:w="3921" w:h="607" w:hRule="exact" w:wrap="none" w:vAnchor="page" w:hAnchor="margin" w:x="6800" w:y="11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21:42:07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pojmech a definicích v oblasti auditu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a popsat pojmy vztahující se k auditu/auditorovi kybernetické bezpečnosti: program auditu, plán auditu, předmět auditu, auditor, odborná způsobilost auditora, tým auditorů bezpečnosti, technický expert auditu, překladatel auditu, klient auditu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a vysvětlit pojmy vztahující se k auditu/auditorovi kybernetické bezpečnosti: kritéria auditu, cíle auditu, zjištění z auditu, objektivní důkaz, závěr z auditu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a vysvětlit pojmy vztahující se k auditu/auditorovi kybernetické bezpečnosti: etické chování, nezávislost auditora, průkaznost, techniky auditování, prezentování výsledků auditu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Plánování auditu kybernetické bezpečnosti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Určit činnosti, které je nezbytné provést při stanovení programu auditu kybernetické bezpečnosti</w:t>
      </w:r>
    </w:p>
    <w:p>
      <w:pPr>
        <w:pStyle w:val="P28"/>
        <w:framePr w:w="3921" w:h="607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Navrhnout program auditu kybernetické bezpečnosti</w:t>
      </w:r>
    </w:p>
    <w:p>
      <w:pPr>
        <w:pStyle w:val="P30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1"/>
        <w:rPr>
          <w:rStyle w:val="C11"/>
          <w:rtl w:val="0"/>
        </w:rPr>
      </w:pPr>
      <w:r>
        <w:rPr>
          <w:rStyle w:val="C11"/>
          <w:rtl w:val="0"/>
        </w:rPr>
        <w:t>c) Popsat způsob stanovení odpovědností a požadavků na zdroje (lidské, materiální) v rámci programu auditu kybernetické bezpečnosti</w:t>
      </w:r>
    </w:p>
    <w:p>
      <w:pPr>
        <w:pStyle w:val="P28"/>
        <w:framePr w:w="3921" w:h="607" w:hRule="exact" w:wrap="none" w:vAnchor="page" w:hAnchor="margin" w:x="6800" w:y="80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1"/>
        <w:rPr>
          <w:rStyle w:val="C18"/>
          <w:rtl w:val="0"/>
        </w:rPr>
      </w:pPr>
      <w:r>
        <w:rPr>
          <w:rStyle w:val="C18"/>
          <w:rtl w:val="0"/>
        </w:rPr>
        <w:t>Provádění auditu kybernetické bezpečnosti</w:t>
      </w:r>
    </w:p>
    <w:p>
      <w:pPr>
        <w:pStyle w:val="P24"/>
        <w:framePr w:w="6713" w:h="376" w:hRule="exact" w:wrap="none" w:vAnchor="page" w:hAnchor="margin" w:x="45" w:y="96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2"/>
        <w:rPr>
          <w:rStyle w:val="C11"/>
          <w:rtl w:val="0"/>
        </w:rPr>
      </w:pPr>
      <w:r>
        <w:rPr>
          <w:rStyle w:val="C11"/>
          <w:rtl w:val="0"/>
        </w:rPr>
        <w:t>a) Popsat přípravné činnosti, které musí auditní tým uskutečnit před zahájením auditu kybernetické bezpečnosti</w:t>
      </w:r>
    </w:p>
    <w:p>
      <w:pPr>
        <w:pStyle w:val="P28"/>
        <w:framePr w:w="3921" w:h="607" w:hRule="exact" w:wrap="none" w:vAnchor="page" w:hAnchor="margin" w:x="6800" w:y="10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Vysvětlit a zdůvodnit nutnost přezkoumání dokumentů před zahájením auditu kybernetické bezpečnosti</w:t>
      </w:r>
    </w:p>
    <w:p>
      <w:pPr>
        <w:pStyle w:val="P30"/>
        <w:framePr w:w="3921" w:h="607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c) Popsat způsob hledání důkazů (shoda/neshoda), hodnocení situací, vedení interview v rámci kybernetické bezpečnosti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3"/>
        <w:rPr>
          <w:rStyle w:val="C13"/>
          <w:rtl w:val="0"/>
        </w:rPr>
      </w:pPr>
      <w:r>
        <w:rPr>
          <w:rStyle w:val="C13"/>
          <w:rtl w:val="0"/>
        </w:rPr>
        <w:t>d) Popsat praktické prověření při vzorkování v rámci kybernetické bezpečnosti</w:t>
      </w:r>
    </w:p>
    <w:p>
      <w:pPr>
        <w:pStyle w:val="P30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0"/>
        <w:rPr>
          <w:rStyle w:val="C11"/>
          <w:rtl w:val="0"/>
        </w:rPr>
      </w:pPr>
      <w:r>
        <w:rPr>
          <w:rStyle w:val="C11"/>
          <w:rtl w:val="0"/>
        </w:rPr>
        <w:t>e) Popsat průběh dokončení auditu kybernetické bezpečnosti a závěrečných jednání</w:t>
      </w:r>
    </w:p>
    <w:p>
      <w:pPr>
        <w:pStyle w:val="P28"/>
        <w:framePr w:w="3921" w:h="607" w:hRule="exact" w:wrap="none" w:vAnchor="page" w:hAnchor="margin" w:x="6800" w:y="12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6"/>
        <w:rPr>
          <w:rStyle w:val="C13"/>
          <w:rtl w:val="0"/>
        </w:rPr>
      </w:pPr>
      <w:r>
        <w:rPr>
          <w:rStyle w:val="C13"/>
          <w:rtl w:val="0"/>
        </w:rPr>
        <w:t>f) Popsat obsah prezentace výsledků auditu kybernetické bezpečnosti managementu organizace</w:t>
      </w:r>
    </w:p>
    <w:p>
      <w:pPr>
        <w:pStyle w:val="P30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64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3"/>
        <w:rPr>
          <w:rStyle w:val="C11"/>
          <w:rtl w:val="0"/>
        </w:rPr>
      </w:pPr>
      <w:r>
        <w:rPr>
          <w:rStyle w:val="C11"/>
          <w:rtl w:val="0"/>
        </w:rPr>
        <w:t>g) Vyjmenovat a demonstrovat činnosti vykonávané při zahájení auditu kybernetické bezpečnosti na místě, při jeho provádění a činnosti související s tvorbou zprávy z auditu kybernetické bezpečnosti</w:t>
      </w:r>
    </w:p>
    <w:p>
      <w:pPr>
        <w:pStyle w:val="P28"/>
        <w:framePr w:w="3921" w:h="831" w:hRule="exact" w:wrap="none" w:vAnchor="page" w:hAnchor="margin" w:x="6800" w:y="1364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21:42:07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Strategické a taktické řízení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Zařadit pozici vedoucího IT oddělení do organizační struktury organizace a zdůvodnit toto začlenění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popsat standardy a normy používané při řízení ICT v organizaci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řízení zdrojů (lidské, finanční, časové) v rámci IT oddělení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a demonstrovat principy projektového řízení; určit, na který z parametrů trojimperativu je v projektu kladen největší důraz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a vytvořit plánování IT rozpočtu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a popsat postupy při koordinaci provozu ICT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provádění řízení změn s ohledem na zajištění kontinuity organizace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Řízení provozu a komunikací ICT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Popsat, na čem je založen soubor praxí ITIL (Information Technology Infrastructure Library)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Popsat význam frameworku COBIT (Control Objectives for Information and related Technology). Navrhnout konkrétní aplikaci procesů ve 4 doménách</w:t>
      </w:r>
    </w:p>
    <w:p>
      <w:pPr>
        <w:pStyle w:val="P30"/>
        <w:framePr w:w="3921" w:h="831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c) Podle konkrétního zadání navrhnout zálohovací schéma a metodiku kontroly záloh</w:t>
      </w:r>
    </w:p>
    <w:p>
      <w:pPr>
        <w:pStyle w:val="P28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21:42:07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aktiv v rámci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Identifikovat a ohodnotit aktiva organizace 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Určit hodnotu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Popsat způsoby likvidace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Popsat pravidla pro manipulaci s aktivy s ohledem na úroveň aktiv, včetně pravidel pro bezpečné elektronické sdílení a fyzické přenášení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88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86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0"/>
        <w:rPr>
          <w:rStyle w:val="C11"/>
          <w:rtl w:val="0"/>
        </w:rPr>
      </w:pPr>
      <w:r>
        <w:rPr>
          <w:rStyle w:val="C11"/>
          <w:rtl w:val="0"/>
        </w:rPr>
        <w:t>a) Definovat a popsat metodiky řízení rizik kybernetické bezpečnosti</w:t>
      </w:r>
    </w:p>
    <w:p>
      <w:pPr>
        <w:pStyle w:val="P28"/>
        <w:framePr w:w="3921" w:h="376" w:hRule="exact" w:wrap="none" w:vAnchor="page" w:hAnchor="margin" w:x="6800" w:y="9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36"/>
        <w:rPr>
          <w:rStyle w:val="C13"/>
          <w:rtl w:val="0"/>
        </w:rPr>
      </w:pPr>
      <w:r>
        <w:rPr>
          <w:rStyle w:val="C13"/>
          <w:rtl w:val="0"/>
        </w:rPr>
        <w:t>b) Vyjmenovat a popsat základní metody analýzy rizik kybernetické bezpečnosti</w:t>
      </w:r>
    </w:p>
    <w:p>
      <w:pPr>
        <w:pStyle w:val="P30"/>
        <w:framePr w:w="3921" w:h="607" w:hRule="exact" w:wrap="none" w:vAnchor="page" w:hAnchor="margin" w:x="6800" w:y="93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9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043"/>
        <w:rPr>
          <w:rStyle w:val="C11"/>
          <w:rtl w:val="0"/>
        </w:rPr>
      </w:pPr>
      <w:r>
        <w:rPr>
          <w:rStyle w:val="C11"/>
          <w:rtl w:val="0"/>
        </w:rPr>
        <w:t>c) Stanovit hodnotu u aktiv, identifikovat pro ně hrozby a zranitelnosti a vypočítat hodnotu rizika,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9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0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0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11816"/>
        <w:rPr>
          <w:rStyle w:val="C18"/>
          <w:rtl w:val="0"/>
        </w:rPr>
      </w:pPr>
      <w:r>
        <w:rPr>
          <w:rStyle w:val="C18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24"/>
        <w:framePr w:w="6713" w:h="376" w:hRule="exact" w:wrap="none" w:vAnchor="page" w:hAnchor="margin" w:x="45" w:y="12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4"/>
        <w:rPr>
          <w:rStyle w:val="C11"/>
          <w:rtl w:val="0"/>
        </w:rPr>
      </w:pPr>
      <w:r>
        <w:rPr>
          <w:rStyle w:val="C11"/>
          <w:rtl w:val="0"/>
        </w:rPr>
        <w:t>a) Připravit scénáře a cvičení v souladu s normou ISO 22398:2013, ve znění pozdějších předpisů, vést je a vyhodnotit</w:t>
      </w:r>
    </w:p>
    <w:p>
      <w:pPr>
        <w:pStyle w:val="P28"/>
        <w:framePr w:w="3921" w:h="607" w:hRule="exact" w:wrap="none" w:vAnchor="page" w:hAnchor="margin" w:x="6800" w:y="12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4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01"/>
        <w:rPr>
          <w:rStyle w:val="C13"/>
          <w:rtl w:val="0"/>
        </w:rPr>
      </w:pPr>
      <w:r>
        <w:rPr>
          <w:rStyle w:val="C13"/>
          <w:rtl w:val="0"/>
        </w:rPr>
        <w:t>b) Vysvětlit smysl a způsob implementace cyklu PDCA</w:t>
      </w:r>
    </w:p>
    <w:p>
      <w:pPr>
        <w:pStyle w:val="P30"/>
        <w:framePr w:w="3921" w:h="376" w:hRule="exact" w:wrap="none" w:vAnchor="page" w:hAnchor="margin" w:x="6800" w:y="134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3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21:42:07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12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12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2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12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1125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1125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1125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1125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1125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1125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1125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1125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1125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114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1148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1148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1148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114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1148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1148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114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1148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1148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1148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7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117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11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117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117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1173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11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1173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1173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1173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1173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11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1173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1173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117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117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1196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1196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22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22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22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22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22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22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22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22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22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1221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268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26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268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26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268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268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26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268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268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12689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12689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126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1268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8371" w:y="1268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1268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29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9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1293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129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129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293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1293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1293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1293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1293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1293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1293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1293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1293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1316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1316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1316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1316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1316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1316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131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134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134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1341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134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134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134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134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136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375" w:h="245" w:hRule="exact" w:wrap="none" w:vAnchor="page" w:hAnchor="margin" w:x="28" w:y="138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351" w:h="230" w:hRule="exact" w:wrap="none" w:vAnchor="page" w:hAnchor="margin" w:x="1344" w:y="1389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37" w:y="138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2395" w:y="138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57" w:h="230" w:hRule="exact" w:wrap="none" w:vAnchor="page" w:hAnchor="margin" w:x="3009" w:y="13899"/>
        <w:rPr>
          <w:rStyle w:val="C27"/>
          <w:rtl w:val="0"/>
        </w:rPr>
      </w:pPr>
      <w:r>
        <w:rPr>
          <w:rStyle w:val="C27"/>
          <w:rtl w:val="0"/>
        </w:rPr>
        <w:t>přezkoušena</w:t>
      </w:r>
    </w:p>
    <w:p>
      <w:pPr>
        <w:pStyle w:val="P38"/>
        <w:framePr w:w="116" w:h="230" w:hRule="exact" w:wrap="none" w:vAnchor="page" w:hAnchor="margin" w:x="4209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03" w:h="230" w:hRule="exact" w:wrap="none" w:vAnchor="page" w:hAnchor="margin" w:x="4915" w:y="138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5860" w:y="13899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6508" w:y="138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2" w:y="138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8337" w:y="13899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8"/>
        <w:framePr w:w="649" w:h="230" w:hRule="exact" w:wrap="none" w:vAnchor="page" w:hAnchor="margin" w:x="8985" w:y="13899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9676" w:y="138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05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1536" w:y="14129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116" w:h="230" w:hRule="exact" w:wrap="none" w:vAnchor="page" w:hAnchor="margin" w:x="2126" w:y="141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84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9" w:y="141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3811" w:y="141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4358" w:y="1412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5136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08" w:y="141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5467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85" w:h="230" w:hRule="exact" w:wrap="none" w:vAnchor="page" w:hAnchor="margin" w:x="5990" w:y="141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28" w:h="230" w:hRule="exact" w:wrap="none" w:vAnchor="page" w:hAnchor="margin" w:x="6417" w:y="1412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26" w:h="230" w:hRule="exact" w:wrap="none" w:vAnchor="page" w:hAnchor="margin" w:x="6888" w:y="14129"/>
        <w:rPr>
          <w:rStyle w:val="C27"/>
          <w:rtl w:val="0"/>
        </w:rPr>
      </w:pPr>
      <w:r>
        <w:rPr>
          <w:rStyle w:val="C27"/>
          <w:rtl w:val="0"/>
        </w:rPr>
        <w:t>uvedeny:</w:t>
      </w:r>
    </w:p>
    <w:p>
      <w:pPr>
        <w:pStyle w:val="P40"/>
        <w:framePr w:w="375" w:h="245" w:hRule="exact" w:wrap="none" w:vAnchor="page" w:hAnchor="margin" w:x="388" w:y="143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4379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692" w:h="230" w:hRule="exact" w:wrap="none" w:vAnchor="page" w:hAnchor="margin" w:x="1540" w:y="143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81" w:h="230" w:hRule="exact" w:wrap="none" w:vAnchor="page" w:hAnchor="margin" w:x="2275" w:y="14379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1047" w:h="230" w:hRule="exact" w:wrap="none" w:vAnchor="page" w:hAnchor="margin" w:x="2899" w:y="1437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46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462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658" w:h="230" w:hRule="exact" w:wrap="none" w:vAnchor="page" w:hAnchor="margin" w:x="1574" w:y="14628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8"/>
        <w:framePr w:w="337" w:h="230" w:hRule="exact" w:wrap="none" w:vAnchor="page" w:hAnchor="margin" w:x="2275" w:y="14628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8"/>
        <w:framePr w:w="994" w:h="230" w:hRule="exact" w:wrap="none" w:vAnchor="page" w:hAnchor="margin" w:x="2654" w:y="1462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3691" w:y="14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849" w:y="14628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514" w:h="230" w:hRule="exact" w:wrap="none" w:vAnchor="page" w:hAnchor="margin" w:x="4785" w:y="14628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8"/>
        <w:framePr w:w="241" w:h="230" w:hRule="exact" w:wrap="none" w:vAnchor="page" w:hAnchor="margin" w:x="5342" w:y="14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5625" w:y="1462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62" w:h="230" w:hRule="exact" w:wrap="none" w:vAnchor="page" w:hAnchor="margin" w:x="6105" w:y="14628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82" w:h="230" w:hRule="exact" w:wrap="none" w:vAnchor="page" w:hAnchor="margin" w:x="6710" w:y="14628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0"/>
        <w:framePr w:w="375" w:h="245" w:hRule="exact" w:wrap="none" w:vAnchor="page" w:hAnchor="margin" w:x="38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1487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1838" w:y="1487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47" w:h="230" w:hRule="exact" w:wrap="none" w:vAnchor="page" w:hAnchor="margin" w:x="2673" w:y="1487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748" w:y="1512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625" w:h="230" w:hRule="exact" w:wrap="none" w:vAnchor="page" w:hAnchor="margin" w:x="2083" w:y="15127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8"/>
        <w:framePr w:w="337" w:h="230" w:hRule="exact" w:wrap="none" w:vAnchor="page" w:hAnchor="margin" w:x="2750" w:y="1512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93" w:h="230" w:hRule="exact" w:wrap="none" w:vAnchor="page" w:hAnchor="margin" w:x="3129" w:y="1512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65" w:y="151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792" w:y="1512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05" w:h="230" w:hRule="exact" w:wrap="none" w:vAnchor="page" w:hAnchor="margin" w:x="4684" w:y="15127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0"/>
        <w:framePr w:w="375" w:h="245" w:hRule="exact" w:wrap="none" w:vAnchor="page" w:hAnchor="margin" w:x="388" w:y="153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5377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946" w:h="230" w:hRule="exact" w:wrap="none" w:vAnchor="page" w:hAnchor="margin" w:x="1497" w:y="153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30" w:h="230" w:hRule="exact" w:wrap="none" w:vAnchor="page" w:hAnchor="margin" w:x="2486" w:y="15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2659" w:y="15377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1167" w:h="230" w:hRule="exact" w:wrap="none" w:vAnchor="page" w:hAnchor="margin" w:x="3835" w:y="15377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1047" w:h="230" w:hRule="exact" w:wrap="none" w:vAnchor="page" w:hAnchor="margin" w:x="5044" w:y="1537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562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61" w:h="230" w:hRule="exact" w:wrap="none" w:vAnchor="page" w:hAnchor="margin" w:x="1473" w:y="15627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8"/>
        <w:framePr w:w="130" w:h="230" w:hRule="exact" w:wrap="none" w:vAnchor="page" w:hAnchor="margin" w:x="2476" w:y="15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649" w:y="15627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8"/>
        <w:framePr w:w="428" w:h="230" w:hRule="exact" w:wrap="none" w:vAnchor="page" w:hAnchor="margin" w:x="3748" w:y="15627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8"/>
        <w:framePr w:w="994" w:h="230" w:hRule="exact" w:wrap="none" w:vAnchor="page" w:hAnchor="margin" w:x="4219" w:y="1562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256" w:y="15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414" w:y="15627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05" w:h="230" w:hRule="exact" w:wrap="none" w:vAnchor="page" w:hAnchor="margin" w:x="6350" w:y="15627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21:42:07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3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„nesplnil“,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auditora kybernetické bezpečnosti.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21:42:07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 případových studií,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4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21:42:07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21:42:07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2CAE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5F9AC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5A4E3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5C7331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