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73B692" Type="http://schemas.openxmlformats.org/officeDocument/2006/relationships/officeDocument" Target="/word/document.xml" /><Relationship Id="coreR5B73B692" Type="http://schemas.openxmlformats.org/package/2006/relationships/metadata/core-properties" Target="/docProps/core.xml" /><Relationship Id="customR5B73B6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auditora/auditorky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auditu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v oblasti auditu kybernetické bezpečnosti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auditu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auditu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a taktické řízení ICT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provozu a komunikací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Ochrana aktiv v rámci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auditora/auditorky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11:08:07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 pro potřeby auditora/auditorky kybernetické bezpečnosti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181/2014 Sb., o kybernetické bezpečnosti a o změně souvisejících zákonů, ve znění pozdějších předpisů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Popsat a vysvětlit prováděcí předpisy vztahující se k zákonu č. 181/2014 Sb., (vyhláška č. 82/2018 Sb., o bezpečnostních opatřeních, kybernetických bezpečnostních incidentech, reaktivních opatřeních, náležitostech podání v oblasti kybernetické bezpečnosti a likvidaci dat a nařízení vlády č. 432/2010 Sb., o kritériích pro určení prvku kritické infrastruktury), ve znění pozdějších předpisů</w:t>
      </w:r>
    </w:p>
    <w:p>
      <w:pPr>
        <w:pStyle w:val="P30"/>
        <w:framePr w:w="3921" w:h="1504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504" w:hRule="exact" w:wrap="none" w:vAnchor="page" w:hAnchor="margin" w:x="45" w:y="5845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5901"/>
        <w:rPr>
          <w:rStyle w:val="C11"/>
          <w:rtl w:val="0"/>
        </w:rPr>
      </w:pPr>
      <w:r>
        <w:rPr>
          <w:rStyle w:val="C11"/>
          <w:rtl w:val="0"/>
        </w:rPr>
        <w:t>c) Popsat a vysvětlit cíle evropského nařízení GDPR (nařízení Evropského parlamentu a Rady EU 2016/679 ze dne 27. dubna 2016 o ochraně fyzických osob v souvislosti se zpracováním osobních údajů a o volném pohybu těchto údajů a o zrušení směrnice 95/46/ES - obecné nařízení o ochraně osobních údajů), ve znění pozdějších předpisů a jeho vztah k ochraně informací v organizaci</w:t>
      </w:r>
    </w:p>
    <w:p>
      <w:pPr>
        <w:pStyle w:val="P28"/>
        <w:framePr w:w="3921" w:h="1504" w:hRule="exact" w:wrap="none" w:vAnchor="page" w:hAnchor="margin" w:x="6800" w:y="5845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59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d) Definovat legislativní rámec pro vyspecifikovanou povinnou osobu v souladu se zákonem č. 181/2014 Sb., o kybernetické bezpečnosti a o změně souvisejících zákonů (zákon o kybernetické bezpečnosti), ve znění pozdějších předpisů</w:t>
      </w:r>
    </w:p>
    <w:p>
      <w:pPr>
        <w:pStyle w:val="P30"/>
        <w:framePr w:w="3921" w:h="1055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5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53"/>
        <w:rPr>
          <w:rStyle w:val="C18"/>
          <w:rtl w:val="0"/>
        </w:rPr>
      </w:pPr>
      <w:r>
        <w:rPr>
          <w:rStyle w:val="C18"/>
          <w:rtl w:val="0"/>
        </w:rPr>
        <w:t>Uplatňování zásad auditu kybernetické bezpečnosti</w:t>
      </w:r>
    </w:p>
    <w:p>
      <w:pPr>
        <w:pStyle w:val="P24"/>
        <w:framePr w:w="6713" w:h="376" w:hRule="exact" w:wrap="none" w:vAnchor="page" w:hAnchor="margin" w:x="45" w:y="93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976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9825"/>
        <w:rPr>
          <w:rStyle w:val="C11"/>
          <w:rtl w:val="0"/>
        </w:rPr>
      </w:pPr>
      <w:r>
        <w:rPr>
          <w:rStyle w:val="C11"/>
          <w:rtl w:val="0"/>
        </w:rPr>
        <w:t>a) Popsat metodiku auditu kybernetické bezpečnosti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9769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98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04"/>
        <w:rPr>
          <w:rStyle w:val="C13"/>
          <w:rtl w:val="0"/>
        </w:rPr>
      </w:pPr>
      <w:r>
        <w:rPr>
          <w:rStyle w:val="C13"/>
          <w:rtl w:val="0"/>
        </w:rPr>
        <w:t>b) Identifikovat a aplikovat principy auditování v oblasti kybernetické bezpečnosti podle zadaného příkladu</w:t>
      </w:r>
    </w:p>
    <w:p>
      <w:pPr>
        <w:pStyle w:val="P30"/>
        <w:framePr w:w="3921" w:h="607" w:hRule="exact" w:wrap="none" w:vAnchor="page" w:hAnchor="margin" w:x="6800" w:y="11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11:08:07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pojmech a definicích v oblasti auditu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a popsat pojmy vztahující se k auditu/auditorovi kybernetické bezpečnosti: program auditu, plán auditu, předmět auditu, auditor, odborná způsobilost auditora, tým auditorů bezpečnosti, technický expert auditu, překladatel auditu, klient auditu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Popsat a vysvětlit pojmy vztahující se k auditu/auditorovi kybernetické bezpečnosti: kritéria auditu, cíle auditu, zjištění z auditu, objektivní důkaz, závěr z auditu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Popsat a vysvětlit pojmy vztahující se k auditu/auditorovi kybernetické bezpečnosti: etické chování, nezávislost auditora, průkaznost, techniky auditování, prezentování výsledků auditu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6"/>
        <w:rPr>
          <w:rStyle w:val="C18"/>
          <w:rtl w:val="0"/>
        </w:rPr>
      </w:pPr>
      <w:r>
        <w:rPr>
          <w:rStyle w:val="C18"/>
          <w:rtl w:val="0"/>
        </w:rPr>
        <w:t>Plánování auditu kybernetické bezpečnosti</w:t>
      </w:r>
    </w:p>
    <w:p>
      <w:pPr>
        <w:pStyle w:val="P24"/>
        <w:framePr w:w="6713" w:h="376" w:hRule="exact" w:wrap="none" w:vAnchor="page" w:hAnchor="margin" w:x="45" w:y="66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8"/>
        <w:rPr>
          <w:rStyle w:val="C11"/>
          <w:rtl w:val="0"/>
        </w:rPr>
      </w:pPr>
      <w:r>
        <w:rPr>
          <w:rStyle w:val="C11"/>
          <w:rtl w:val="0"/>
        </w:rPr>
        <w:t>a) Určit činnosti, které je nezbytné provést při stanovení programu auditu kybernetické bezpečnosti</w:t>
      </w:r>
    </w:p>
    <w:p>
      <w:pPr>
        <w:pStyle w:val="P28"/>
        <w:framePr w:w="3921" w:h="607" w:hRule="exact" w:wrap="none" w:vAnchor="page" w:hAnchor="margin" w:x="6800" w:y="70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6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5"/>
        <w:rPr>
          <w:rStyle w:val="C13"/>
          <w:rtl w:val="0"/>
        </w:rPr>
      </w:pPr>
      <w:r>
        <w:rPr>
          <w:rStyle w:val="C13"/>
          <w:rtl w:val="0"/>
        </w:rPr>
        <w:t>b) Navrhnout program auditu kybernetické bezpečnosti</w:t>
      </w:r>
    </w:p>
    <w:p>
      <w:pPr>
        <w:pStyle w:val="P30"/>
        <w:framePr w:w="3921" w:h="376" w:hRule="exact" w:wrap="none" w:vAnchor="page" w:hAnchor="margin" w:x="6800" w:y="76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1"/>
        <w:rPr>
          <w:rStyle w:val="C11"/>
          <w:rtl w:val="0"/>
        </w:rPr>
      </w:pPr>
      <w:r>
        <w:rPr>
          <w:rStyle w:val="C11"/>
          <w:rtl w:val="0"/>
        </w:rPr>
        <w:t>c) Popsat způsob stanovení odpovědností a požadavků na zdroje (lidské, materiální) v rámci programu auditu kybernetické bezpečnosti</w:t>
      </w:r>
    </w:p>
    <w:p>
      <w:pPr>
        <w:pStyle w:val="P28"/>
        <w:framePr w:w="3921" w:h="607" w:hRule="exact" w:wrap="none" w:vAnchor="page" w:hAnchor="margin" w:x="6800" w:y="80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1"/>
        <w:rPr>
          <w:rStyle w:val="C18"/>
          <w:rtl w:val="0"/>
        </w:rPr>
      </w:pPr>
      <w:r>
        <w:rPr>
          <w:rStyle w:val="C18"/>
          <w:rtl w:val="0"/>
        </w:rPr>
        <w:t>Provádění auditu kybernetické bezpečnosti</w:t>
      </w:r>
    </w:p>
    <w:p>
      <w:pPr>
        <w:pStyle w:val="P24"/>
        <w:framePr w:w="6713" w:h="376" w:hRule="exact" w:wrap="none" w:vAnchor="page" w:hAnchor="margin" w:x="45" w:y="96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2"/>
        <w:rPr>
          <w:rStyle w:val="C11"/>
          <w:rtl w:val="0"/>
        </w:rPr>
      </w:pPr>
      <w:r>
        <w:rPr>
          <w:rStyle w:val="C11"/>
          <w:rtl w:val="0"/>
        </w:rPr>
        <w:t>a) Popsat přípravné činnosti, které musí auditní tým uskutečnit před zahájením auditu kybernetické bezpečnosti</w:t>
      </w:r>
    </w:p>
    <w:p>
      <w:pPr>
        <w:pStyle w:val="P28"/>
        <w:framePr w:w="3921" w:h="607" w:hRule="exact" w:wrap="none" w:vAnchor="page" w:hAnchor="margin" w:x="6800" w:y="100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69"/>
        <w:rPr>
          <w:rStyle w:val="C13"/>
          <w:rtl w:val="0"/>
        </w:rPr>
      </w:pPr>
      <w:r>
        <w:rPr>
          <w:rStyle w:val="C13"/>
          <w:rtl w:val="0"/>
        </w:rPr>
        <w:t>b) Vysvětlit a zdůvodnit nutnost přezkoumání dokumentů před zahájením auditu kybernetické bezpečnosti</w:t>
      </w:r>
    </w:p>
    <w:p>
      <w:pPr>
        <w:pStyle w:val="P30"/>
        <w:framePr w:w="3921" w:h="607" w:hRule="exact" w:wrap="none" w:vAnchor="page" w:hAnchor="margin" w:x="6800" w:y="106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6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c) Popsat způsob hledání důkazů (shoda/neshoda), hodnocení situací, vedení interview v rámci kybernetické bezpečnosti</w:t>
      </w:r>
    </w:p>
    <w:p>
      <w:pPr>
        <w:pStyle w:val="P28"/>
        <w:framePr w:w="3921" w:h="607" w:hRule="exact" w:wrap="none" w:vAnchor="page" w:hAnchor="margin" w:x="6800" w:y="112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83"/>
        <w:rPr>
          <w:rStyle w:val="C13"/>
          <w:rtl w:val="0"/>
        </w:rPr>
      </w:pPr>
      <w:r>
        <w:rPr>
          <w:rStyle w:val="C13"/>
          <w:rtl w:val="0"/>
        </w:rPr>
        <w:t>d) Popsat praktické prověření při vzorkování v rámci kybernetické bezpečnosti</w:t>
      </w:r>
    </w:p>
    <w:p>
      <w:pPr>
        <w:pStyle w:val="P30"/>
        <w:framePr w:w="3921" w:h="607" w:hRule="exact" w:wrap="none" w:vAnchor="page" w:hAnchor="margin" w:x="6800" w:y="118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90"/>
        <w:rPr>
          <w:rStyle w:val="C11"/>
          <w:rtl w:val="0"/>
        </w:rPr>
      </w:pPr>
      <w:r>
        <w:rPr>
          <w:rStyle w:val="C11"/>
          <w:rtl w:val="0"/>
        </w:rPr>
        <w:t>e) Popsat průběh dokončení auditu kybernetické bezpečnosti a závěrečných jednání</w:t>
      </w:r>
    </w:p>
    <w:p>
      <w:pPr>
        <w:pStyle w:val="P28"/>
        <w:framePr w:w="3921" w:h="607" w:hRule="exact" w:wrap="none" w:vAnchor="page" w:hAnchor="margin" w:x="6800" w:y="124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0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96"/>
        <w:rPr>
          <w:rStyle w:val="C13"/>
          <w:rtl w:val="0"/>
        </w:rPr>
      </w:pPr>
      <w:r>
        <w:rPr>
          <w:rStyle w:val="C13"/>
          <w:rtl w:val="0"/>
        </w:rPr>
        <w:t>f) Popsat obsah prezentace výsledků auditu kybernetické bezpečnosti managementu organizace</w:t>
      </w:r>
    </w:p>
    <w:p>
      <w:pPr>
        <w:pStyle w:val="P30"/>
        <w:framePr w:w="3921" w:h="607" w:hRule="exact" w:wrap="none" w:vAnchor="page" w:hAnchor="margin" w:x="6800" w:y="130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64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03"/>
        <w:rPr>
          <w:rStyle w:val="C11"/>
          <w:rtl w:val="0"/>
        </w:rPr>
      </w:pPr>
      <w:r>
        <w:rPr>
          <w:rStyle w:val="C11"/>
          <w:rtl w:val="0"/>
        </w:rPr>
        <w:t>g) Vyjmenovat a demonstrovat činnosti vykonávané při zahájení auditu kybernetické bezpečnosti na místě, při jeho provádění a činnosti související s tvorbou zprávy z auditu kybernetické bezpečnosti</w:t>
      </w:r>
    </w:p>
    <w:p>
      <w:pPr>
        <w:pStyle w:val="P28"/>
        <w:framePr w:w="3921" w:h="831" w:hRule="exact" w:wrap="none" w:vAnchor="page" w:hAnchor="margin" w:x="6800" w:y="1364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11:08:07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Strategické a taktické řízení ICT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Zařadit pozici vedoucího IT oddělení do organizační struktury organizace a zdůvodnit toto začlenění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 popsat standardy a normy používané při řízení ICT v organizaci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řízení zdrojů (lidské, finanční, časové) v rámci IT oddělení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a demonstrovat principy projektového řízení; určit, na který z parametrů trojimperativu je v projektu kladen největší důraz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a vytvořit plánování IT rozpočtu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Uvést a popsat postupy při koordinaci provozu ICT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Popsat provádění řízení změn s ohledem na zajištění kontinuity organizace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Řízení provozu a komunikací ICT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Popsat, na čem je založen soubor praxí ITIL (Information Technology Infrastructure Library)</w:t>
      </w:r>
    </w:p>
    <w:p>
      <w:pPr>
        <w:pStyle w:val="P28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b) Popsat význam frameworku COBIT (Control Objectives for Information and related Technology). Navrhnout konkrétní aplikaci procesů ve 4 doménách</w:t>
      </w:r>
    </w:p>
    <w:p>
      <w:pPr>
        <w:pStyle w:val="P30"/>
        <w:framePr w:w="3921" w:h="831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4"/>
        <w:rPr>
          <w:rStyle w:val="C11"/>
          <w:rtl w:val="0"/>
        </w:rPr>
      </w:pPr>
      <w:r>
        <w:rPr>
          <w:rStyle w:val="C11"/>
          <w:rtl w:val="0"/>
        </w:rPr>
        <w:t>c) Podle konkrétního zadání navrhnout zálohovací schéma a metodiku kontroly záloh</w:t>
      </w:r>
    </w:p>
    <w:p>
      <w:pPr>
        <w:pStyle w:val="P28"/>
        <w:framePr w:w="3921" w:h="607" w:hRule="exact" w:wrap="none" w:vAnchor="page" w:hAnchor="margin" w:x="6800" w:y="90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11:08:07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Ochrana aktiv v rámci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Identifikovat a ohodnotit aktiva organizace 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Určit hodnotu aktiv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055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508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136"/>
        <w:rPr>
          <w:rStyle w:val="C11"/>
          <w:rtl w:val="0"/>
        </w:rPr>
      </w:pPr>
      <w:r>
        <w:rPr>
          <w:rStyle w:val="C11"/>
          <w:rtl w:val="0"/>
        </w:rPr>
        <w:t>c) Popsat způsoby likvidace aktiv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055" w:hRule="exact" w:wrap="none" w:vAnchor="page" w:hAnchor="margin" w:x="6800" w:y="508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1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6136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6192"/>
        <w:rPr>
          <w:rStyle w:val="C13"/>
          <w:rtl w:val="0"/>
        </w:rPr>
      </w:pPr>
      <w:r>
        <w:rPr>
          <w:rStyle w:val="C13"/>
          <w:rtl w:val="0"/>
        </w:rPr>
        <w:t>d) Popsat pravidla pro manipulaci s aktivy s ohledem na úroveň aktiv, včetně pravidel pro bezpečné elektronické sdílení a fyzické přenášení aktiv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504" w:hRule="exact" w:wrap="none" w:vAnchor="page" w:hAnchor="margin" w:x="6800" w:y="6136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6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88"/>
        <w:rPr>
          <w:rStyle w:val="C18"/>
          <w:rtl w:val="0"/>
        </w:rPr>
      </w:pPr>
      <w:r>
        <w:rPr>
          <w:rStyle w:val="C18"/>
          <w:rtl w:val="0"/>
        </w:rPr>
        <w:t>Řízení rizik kybernetické bezpečnosti pro potřeby auditora/auditorky kybernetické bezpečnosti</w:t>
      </w:r>
    </w:p>
    <w:p>
      <w:pPr>
        <w:pStyle w:val="P24"/>
        <w:framePr w:w="6713" w:h="376" w:hRule="exact" w:wrap="none" w:vAnchor="page" w:hAnchor="margin" w:x="45" w:y="86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60"/>
        <w:rPr>
          <w:rStyle w:val="C11"/>
          <w:rtl w:val="0"/>
        </w:rPr>
      </w:pPr>
      <w:r>
        <w:rPr>
          <w:rStyle w:val="C11"/>
          <w:rtl w:val="0"/>
        </w:rPr>
        <w:t>a) Definovat a popsat metodiky řízení rizik kybernetické bezpečnosti</w:t>
      </w:r>
    </w:p>
    <w:p>
      <w:pPr>
        <w:pStyle w:val="P28"/>
        <w:framePr w:w="3921" w:h="376" w:hRule="exact" w:wrap="none" w:vAnchor="page" w:hAnchor="margin" w:x="6800" w:y="90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3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36"/>
        <w:rPr>
          <w:rStyle w:val="C13"/>
          <w:rtl w:val="0"/>
        </w:rPr>
      </w:pPr>
      <w:r>
        <w:rPr>
          <w:rStyle w:val="C13"/>
          <w:rtl w:val="0"/>
        </w:rPr>
        <w:t>b) Vyjmenovat a popsat základní metody analýzy rizik kybernetické bezpečnosti</w:t>
      </w:r>
    </w:p>
    <w:p>
      <w:pPr>
        <w:pStyle w:val="P30"/>
        <w:framePr w:w="3921" w:h="607" w:hRule="exact" w:wrap="none" w:vAnchor="page" w:hAnchor="margin" w:x="6800" w:y="93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998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0043"/>
        <w:rPr>
          <w:rStyle w:val="C11"/>
          <w:rtl w:val="0"/>
        </w:rPr>
      </w:pPr>
      <w:r>
        <w:rPr>
          <w:rStyle w:val="C11"/>
          <w:rtl w:val="0"/>
        </w:rPr>
        <w:t>c) Stanovit hodnotu u aktiv, identifikovat pro ně hrozby a zranitelnosti a vypočítat hodnotu rizika,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998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00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80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547" w:hRule="exact" w:wrap="none" w:vAnchor="page" w:hAnchor="margin" w:x="28" w:y="11816"/>
        <w:rPr>
          <w:rStyle w:val="C18"/>
          <w:rtl w:val="0"/>
        </w:rPr>
      </w:pPr>
      <w:r>
        <w:rPr>
          <w:rStyle w:val="C18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24"/>
        <w:framePr w:w="6713" w:h="376" w:hRule="exact" w:wrap="none" w:vAnchor="page" w:hAnchor="margin" w:x="45" w:y="124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94"/>
        <w:rPr>
          <w:rStyle w:val="C11"/>
          <w:rtl w:val="0"/>
        </w:rPr>
      </w:pPr>
      <w:r>
        <w:rPr>
          <w:rStyle w:val="C11"/>
          <w:rtl w:val="0"/>
        </w:rPr>
        <w:t>a) Připravit scénáře a cvičení v souladu s normou ISO 22398:2013, ve znění pozdějších předpisů, vést je a vyhodnotit</w:t>
      </w:r>
    </w:p>
    <w:p>
      <w:pPr>
        <w:pStyle w:val="P28"/>
        <w:framePr w:w="3921" w:h="607" w:hRule="exact" w:wrap="none" w:vAnchor="page" w:hAnchor="margin" w:x="6800" w:y="128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4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01"/>
        <w:rPr>
          <w:rStyle w:val="C13"/>
          <w:rtl w:val="0"/>
        </w:rPr>
      </w:pPr>
      <w:r>
        <w:rPr>
          <w:rStyle w:val="C13"/>
          <w:rtl w:val="0"/>
        </w:rPr>
        <w:t>b) Vysvětlit smysl a způsob implementace cyklu PDCA</w:t>
      </w:r>
    </w:p>
    <w:p>
      <w:pPr>
        <w:pStyle w:val="P30"/>
        <w:framePr w:w="3921" w:h="376" w:hRule="exact" w:wrap="none" w:vAnchor="page" w:hAnchor="margin" w:x="6800" w:y="134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93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11:08:07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53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796" w:y="1053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124" w:h="230" w:hRule="exact" w:wrap="none" w:vAnchor="page" w:hAnchor="margin" w:x="969" w:y="10539"/>
        <w:rPr>
          <w:rStyle w:val="C26"/>
          <w:rtl w:val="0"/>
        </w:rPr>
      </w:pPr>
      <w:r>
        <w:rPr>
          <w:rStyle w:val="C26"/>
          <w:rtl w:val="0"/>
        </w:rPr>
        <w:t>jednotlivým</w:t>
      </w:r>
    </w:p>
    <w:p>
      <w:pPr>
        <w:pStyle w:val="P37"/>
        <w:framePr w:w="1013" w:h="230" w:hRule="exact" w:wrap="none" w:vAnchor="page" w:hAnchor="margin" w:x="2136" w:y="1053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3192" w:y="1053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00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0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00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00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00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00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100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495" w:h="230" w:hRule="exact" w:wrap="none" w:vAnchor="page" w:hAnchor="margin" w:x="5601" w:y="11009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39"/>
        <w:framePr w:w="725" w:h="230" w:hRule="exact" w:wrap="none" w:vAnchor="page" w:hAnchor="margin" w:x="6139" w:y="11009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8"/>
        <w:framePr w:w="145" w:h="230" w:hRule="exact" w:wrap="none" w:vAnchor="page" w:hAnchor="margin" w:x="6849" w:y="1100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0"/>
        <w:framePr w:w="375" w:h="245" w:hRule="exact" w:wrap="none" w:vAnchor="page" w:hAnchor="margin" w:x="28" w:y="112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12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12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112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1125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1125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1125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1125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1125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1125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11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1125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1125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11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1125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1148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114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1148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1148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1148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1148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114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1148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1148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114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1148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1148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11489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117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51" w:h="230" w:hRule="exact" w:wrap="none" w:vAnchor="page" w:hAnchor="margin" w:x="388" w:y="1173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117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117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1173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1173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117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1173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1173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1173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1173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117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1173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1173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117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117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1196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1196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1196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0"/>
        <w:framePr w:w="375" w:h="245" w:hRule="exact" w:wrap="none" w:vAnchor="page" w:hAnchor="margin" w:x="28" w:y="122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2219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221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221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221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221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221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221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221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73" w:h="230" w:hRule="exact" w:wrap="none" w:vAnchor="page" w:hAnchor="margin" w:x="5308" w:y="12219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6024" w:y="1221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6960" w:y="12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176" w:y="12219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124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26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268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268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268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26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268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268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26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268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268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893" w:h="230" w:hRule="exact" w:wrap="none" w:vAnchor="page" w:hAnchor="margin" w:x="5601" w:y="12689"/>
        <w:rPr>
          <w:rStyle w:val="C28"/>
          <w:rtl w:val="0"/>
        </w:rPr>
      </w:pPr>
      <w:r>
        <w:rPr>
          <w:rStyle w:val="C28"/>
          <w:rtl w:val="0"/>
        </w:rPr>
        <w:t>praktické</w:t>
      </w:r>
    </w:p>
    <w:p>
      <w:pPr>
        <w:pStyle w:val="P39"/>
        <w:framePr w:w="1081" w:h="230" w:hRule="exact" w:wrap="none" w:vAnchor="page" w:hAnchor="margin" w:x="6537" w:y="12689"/>
        <w:rPr>
          <w:rStyle w:val="C28"/>
          <w:rtl w:val="0"/>
        </w:rPr>
      </w:pPr>
      <w:r>
        <w:rPr>
          <w:rStyle w:val="C28"/>
          <w:rtl w:val="0"/>
        </w:rPr>
        <w:t>předvedení</w:t>
      </w:r>
    </w:p>
    <w:p>
      <w:pPr>
        <w:pStyle w:val="P39"/>
        <w:framePr w:w="130" w:h="230" w:hRule="exact" w:wrap="none" w:vAnchor="page" w:hAnchor="margin" w:x="7660" w:y="1268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495" w:h="230" w:hRule="exact" w:wrap="none" w:vAnchor="page" w:hAnchor="margin" w:x="7833" w:y="12689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39"/>
        <w:framePr w:w="725" w:h="230" w:hRule="exact" w:wrap="none" w:vAnchor="page" w:hAnchor="margin" w:x="8371" w:y="12689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8"/>
        <w:framePr w:w="145" w:h="230" w:hRule="exact" w:wrap="none" w:vAnchor="page" w:hAnchor="margin" w:x="9081" w:y="1268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0"/>
        <w:framePr w:w="375" w:h="245" w:hRule="exact" w:wrap="none" w:vAnchor="page" w:hAnchor="margin" w:x="28" w:y="129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29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29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1293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1293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129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12939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1293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1293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1293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1293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129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828" w:y="1293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8275" w:y="1293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8956" w:y="1293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9427" w:y="1293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1790" w:y="131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073" w:y="13169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2664" w:y="1316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523" w:y="1316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4214" w:y="13169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4694" w:y="1316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5385" w:y="13169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6043" w:y="1316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6700" w:y="131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984" w:y="13169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0"/>
        <w:framePr w:w="375" w:h="245" w:hRule="exact" w:wrap="none" w:vAnchor="page" w:hAnchor="margin" w:x="28" w:y="134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3419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341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341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341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341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341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341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341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93" w:h="230" w:hRule="exact" w:wrap="none" w:vAnchor="page" w:hAnchor="margin" w:x="5308" w:y="1341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39" w:h="230" w:hRule="exact" w:wrap="none" w:vAnchor="page" w:hAnchor="margin" w:x="6244" w:y="1341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6926" w:y="1341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006" w:y="1341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062" w:y="134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235" w:y="13419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682" w:h="230" w:hRule="exact" w:wrap="none" w:vAnchor="page" w:hAnchor="margin" w:x="9950" w:y="134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3" w:h="230" w:hRule="exact" w:wrap="none" w:vAnchor="page" w:hAnchor="margin" w:x="388" w:y="136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604" w:y="13649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375" w:h="245" w:hRule="exact" w:wrap="none" w:vAnchor="page" w:hAnchor="margin" w:x="28" w:y="138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351" w:h="230" w:hRule="exact" w:wrap="none" w:vAnchor="page" w:hAnchor="margin" w:x="1344" w:y="1389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737" w:y="138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2395" w:y="1389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57" w:h="230" w:hRule="exact" w:wrap="none" w:vAnchor="page" w:hAnchor="margin" w:x="3009" w:y="13899"/>
        <w:rPr>
          <w:rStyle w:val="C27"/>
          <w:rtl w:val="0"/>
        </w:rPr>
      </w:pPr>
      <w:r>
        <w:rPr>
          <w:rStyle w:val="C27"/>
          <w:rtl w:val="0"/>
        </w:rPr>
        <w:t>přezkoušena</w:t>
      </w:r>
    </w:p>
    <w:p>
      <w:pPr>
        <w:pStyle w:val="P38"/>
        <w:framePr w:w="116" w:h="230" w:hRule="exact" w:wrap="none" w:vAnchor="page" w:hAnchor="margin" w:x="4209" w:y="138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368" w:y="1389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03" w:h="230" w:hRule="exact" w:wrap="none" w:vAnchor="page" w:hAnchor="margin" w:x="4915" w:y="1389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5860" w:y="13899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8"/>
        <w:framePr w:w="1181" w:h="230" w:hRule="exact" w:wrap="none" w:vAnchor="page" w:hAnchor="margin" w:x="6508" w:y="138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732" w:y="138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8337" w:y="13899"/>
        <w:rPr>
          <w:rStyle w:val="C27"/>
          <w:rtl w:val="0"/>
        </w:rPr>
      </w:pPr>
      <w:r>
        <w:rPr>
          <w:rStyle w:val="C27"/>
          <w:rtl w:val="0"/>
        </w:rPr>
        <w:t>vytváří</w:t>
      </w:r>
    </w:p>
    <w:p>
      <w:pPr>
        <w:pStyle w:val="P38"/>
        <w:framePr w:w="649" w:h="230" w:hRule="exact" w:wrap="none" w:vAnchor="page" w:hAnchor="margin" w:x="8985" w:y="13899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9676" w:y="138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05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1536" w:y="14129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8"/>
        <w:framePr w:w="116" w:h="230" w:hRule="exact" w:wrap="none" w:vAnchor="page" w:hAnchor="margin" w:x="2126" w:y="141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84" w:y="1412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808" w:y="141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009" w:y="141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3811" w:y="1412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4358" w:y="1412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5136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308" w:y="141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5467" w:y="1412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85" w:h="230" w:hRule="exact" w:wrap="none" w:vAnchor="page" w:hAnchor="margin" w:x="5990" w:y="1412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28" w:h="230" w:hRule="exact" w:wrap="none" w:vAnchor="page" w:hAnchor="margin" w:x="6417" w:y="1412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26" w:h="230" w:hRule="exact" w:wrap="none" w:vAnchor="page" w:hAnchor="margin" w:x="6888" w:y="14129"/>
        <w:rPr>
          <w:rStyle w:val="C27"/>
          <w:rtl w:val="0"/>
        </w:rPr>
      </w:pPr>
      <w:r>
        <w:rPr>
          <w:rStyle w:val="C27"/>
          <w:rtl w:val="0"/>
        </w:rPr>
        <w:t>uvedeny:</w:t>
      </w:r>
    </w:p>
    <w:p>
      <w:pPr>
        <w:pStyle w:val="P40"/>
        <w:framePr w:w="375" w:h="245" w:hRule="exact" w:wrap="none" w:vAnchor="page" w:hAnchor="margin" w:x="388" w:y="143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14379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692" w:h="230" w:hRule="exact" w:wrap="none" w:vAnchor="page" w:hAnchor="margin" w:x="1540" w:y="1437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81" w:h="230" w:hRule="exact" w:wrap="none" w:vAnchor="page" w:hAnchor="margin" w:x="2275" w:y="14379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1047" w:h="230" w:hRule="exact" w:wrap="none" w:vAnchor="page" w:hAnchor="margin" w:x="2899" w:y="14379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146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14628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658" w:h="230" w:hRule="exact" w:wrap="none" w:vAnchor="page" w:hAnchor="margin" w:x="1574" w:y="14628"/>
        <w:rPr>
          <w:rStyle w:val="C27"/>
          <w:rtl w:val="0"/>
        </w:rPr>
      </w:pPr>
      <w:r>
        <w:rPr>
          <w:rStyle w:val="C27"/>
          <w:rtl w:val="0"/>
        </w:rPr>
        <w:t>rozvoje</w:t>
      </w:r>
    </w:p>
    <w:p>
      <w:pPr>
        <w:pStyle w:val="P38"/>
        <w:framePr w:w="337" w:h="230" w:hRule="exact" w:wrap="none" w:vAnchor="page" w:hAnchor="margin" w:x="2275" w:y="14628"/>
        <w:rPr>
          <w:rStyle w:val="C27"/>
          <w:rtl w:val="0"/>
        </w:rPr>
      </w:pPr>
      <w:r>
        <w:rPr>
          <w:rStyle w:val="C27"/>
          <w:rtl w:val="0"/>
        </w:rPr>
        <w:t>ICT</w:t>
      </w:r>
    </w:p>
    <w:p>
      <w:pPr>
        <w:pStyle w:val="P38"/>
        <w:framePr w:w="994" w:h="230" w:hRule="exact" w:wrap="none" w:vAnchor="page" w:hAnchor="margin" w:x="2654" w:y="14628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3691" w:y="146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849" w:y="14628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514" w:h="230" w:hRule="exact" w:wrap="none" w:vAnchor="page" w:hAnchor="margin" w:x="4785" w:y="14628"/>
        <w:rPr>
          <w:rStyle w:val="C27"/>
          <w:rtl w:val="0"/>
        </w:rPr>
      </w:pPr>
      <w:r>
        <w:rPr>
          <w:rStyle w:val="C27"/>
          <w:rtl w:val="0"/>
        </w:rPr>
        <w:t>priorit</w:t>
      </w:r>
    </w:p>
    <w:p>
      <w:pPr>
        <w:pStyle w:val="P38"/>
        <w:framePr w:w="241" w:h="230" w:hRule="exact" w:wrap="none" w:vAnchor="page" w:hAnchor="margin" w:x="5342" w:y="146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5625" w:y="1462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62" w:h="230" w:hRule="exact" w:wrap="none" w:vAnchor="page" w:hAnchor="margin" w:x="6105" w:y="14628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82" w:h="230" w:hRule="exact" w:wrap="none" w:vAnchor="page" w:hAnchor="margin" w:x="6710" w:y="14628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40"/>
        <w:framePr w:w="375" w:h="245" w:hRule="exact" w:wrap="none" w:vAnchor="page" w:hAnchor="margin" w:x="388" w:y="148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748" w:y="14878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93" w:h="230" w:hRule="exact" w:wrap="none" w:vAnchor="page" w:hAnchor="margin" w:x="1838" w:y="14878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1047" w:h="230" w:hRule="exact" w:wrap="none" w:vAnchor="page" w:hAnchor="margin" w:x="2673" w:y="14878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151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92" w:h="230" w:hRule="exact" w:wrap="none" w:vAnchor="page" w:hAnchor="margin" w:x="748" w:y="15127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625" w:h="230" w:hRule="exact" w:wrap="none" w:vAnchor="page" w:hAnchor="margin" w:x="2083" w:y="15127"/>
        <w:rPr>
          <w:rStyle w:val="C27"/>
          <w:rtl w:val="0"/>
        </w:rPr>
      </w:pPr>
      <w:r>
        <w:rPr>
          <w:rStyle w:val="C27"/>
          <w:rtl w:val="0"/>
        </w:rPr>
        <w:t>útvaru,</w:t>
      </w:r>
    </w:p>
    <w:p>
      <w:pPr>
        <w:pStyle w:val="P38"/>
        <w:framePr w:w="337" w:h="230" w:hRule="exact" w:wrap="none" w:vAnchor="page" w:hAnchor="margin" w:x="2750" w:y="1512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93" w:h="230" w:hRule="exact" w:wrap="none" w:vAnchor="page" w:hAnchor="margin" w:x="3129" w:y="1512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3465" w:y="1512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3792" w:y="15127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05" w:h="230" w:hRule="exact" w:wrap="none" w:vAnchor="page" w:hAnchor="margin" w:x="4684" w:y="15127"/>
        <w:rPr>
          <w:rStyle w:val="C27"/>
          <w:rtl w:val="0"/>
        </w:rPr>
      </w:pPr>
      <w:r>
        <w:rPr>
          <w:rStyle w:val="C27"/>
          <w:rtl w:val="0"/>
        </w:rPr>
        <w:t>audit,</w:t>
      </w:r>
    </w:p>
    <w:p>
      <w:pPr>
        <w:pStyle w:val="P40"/>
        <w:framePr w:w="375" w:h="245" w:hRule="exact" w:wrap="none" w:vAnchor="page" w:hAnchor="margin" w:x="388" w:y="153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5377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946" w:h="230" w:hRule="exact" w:wrap="none" w:vAnchor="page" w:hAnchor="margin" w:x="1497" w:y="15377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30" w:h="230" w:hRule="exact" w:wrap="none" w:vAnchor="page" w:hAnchor="margin" w:x="2486" w:y="15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2659" w:y="15377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1167" w:h="230" w:hRule="exact" w:wrap="none" w:vAnchor="page" w:hAnchor="margin" w:x="3835" w:y="15377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8"/>
        <w:framePr w:w="1047" w:h="230" w:hRule="exact" w:wrap="none" w:vAnchor="page" w:hAnchor="margin" w:x="5044" w:y="15377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388" w:y="156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15627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961" w:h="230" w:hRule="exact" w:wrap="none" w:vAnchor="page" w:hAnchor="margin" w:x="1473" w:y="15627"/>
        <w:rPr>
          <w:rStyle w:val="C27"/>
          <w:rtl w:val="0"/>
        </w:rPr>
      </w:pPr>
      <w:r>
        <w:rPr>
          <w:rStyle w:val="C27"/>
          <w:rtl w:val="0"/>
        </w:rPr>
        <w:t>primárních</w:t>
      </w:r>
    </w:p>
    <w:p>
      <w:pPr>
        <w:pStyle w:val="P38"/>
        <w:framePr w:w="130" w:h="230" w:hRule="exact" w:wrap="none" w:vAnchor="page" w:hAnchor="margin" w:x="2476" w:y="156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649" w:y="15627"/>
        <w:rPr>
          <w:rStyle w:val="C27"/>
          <w:rtl w:val="0"/>
        </w:rPr>
      </w:pPr>
      <w:r>
        <w:rPr>
          <w:rStyle w:val="C27"/>
          <w:rtl w:val="0"/>
        </w:rPr>
        <w:t>podpůrných</w:t>
      </w:r>
    </w:p>
    <w:p>
      <w:pPr>
        <w:pStyle w:val="P38"/>
        <w:framePr w:w="428" w:h="230" w:hRule="exact" w:wrap="none" w:vAnchor="page" w:hAnchor="margin" w:x="3748" w:y="15627"/>
        <w:rPr>
          <w:rStyle w:val="C27"/>
          <w:rtl w:val="0"/>
        </w:rPr>
      </w:pPr>
      <w:r>
        <w:rPr>
          <w:rStyle w:val="C27"/>
          <w:rtl w:val="0"/>
        </w:rPr>
        <w:t>aktiv</w:t>
      </w:r>
    </w:p>
    <w:p>
      <w:pPr>
        <w:pStyle w:val="P38"/>
        <w:framePr w:w="994" w:h="230" w:hRule="exact" w:wrap="none" w:vAnchor="page" w:hAnchor="margin" w:x="4219" w:y="15627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5256" w:y="156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414" w:y="15627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605" w:h="230" w:hRule="exact" w:wrap="none" w:vAnchor="page" w:hAnchor="margin" w:x="6350" w:y="15627"/>
        <w:rPr>
          <w:rStyle w:val="C27"/>
          <w:rtl w:val="0"/>
        </w:rPr>
      </w:pPr>
      <w:r>
        <w:rPr>
          <w:rStyle w:val="C27"/>
          <w:rtl w:val="0"/>
        </w:rPr>
        <w:t>vazeb.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11:08:07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3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3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39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39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3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3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3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3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6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6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6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6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6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8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8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8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8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8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8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8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0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30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30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30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30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30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30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30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30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30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30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30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31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3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„nesplnil“,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147" w:hRule="exact" w:wrap="none" w:vAnchor="page" w:hAnchor="margin" w:x="0" w:y="1043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599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7 vyhlášky č. 82/2018 Sb., o bezpečnostních opatřeních, kybernetických bezpečnostních incidentech, reaktivních opatřeních, náležitostech podání v oblasti kybernetické bezpečnosti a likvidaci dat, ve znění pozdějších předpisů (např. certifikace uvedené v příloze č. 6 vyhlášky) a nejméně 5 let prokázané odborné praxe v činnostech auditora kybernetické bezpečnosti.</w:t>
      </w:r>
    </w:p>
    <w:p>
      <w:pPr>
        <w:keepNext w:val="0"/>
        <w:keepLines w:val="0"/>
        <w:framePr w:w="10766" w:h="3599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"https://www.nukib.cz"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11:08:07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2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8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368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68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10 případových studií,</w:t>
      </w:r>
    </w:p>
    <w:p>
      <w:pPr>
        <w:keepNext w:val="0"/>
        <w:keepLines w:val="1"/>
        <w:framePr w:w="10766" w:h="368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68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68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8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doplnění instalace SW, který používá (zohlednění jeho osobní preference). </w:t>
      </w:r>
    </w:p>
    <w:p>
      <w:pPr>
        <w:keepNext w:val="0"/>
        <w:keepLines w:val="0"/>
        <w:framePr w:w="10766" w:h="368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8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8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64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0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7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67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2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4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11:08:07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informační technologie a elektronické komunikace 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 a. s.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22.10.2026 11:08:07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7F4E8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83A631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5E9D608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3C9FB6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