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00EA0B" Type="http://schemas.openxmlformats.org/officeDocument/2006/relationships/officeDocument" Target="/word/document.xml" /><Relationship Id="coreR2900EA0B" Type="http://schemas.openxmlformats.org/package/2006/relationships/metadata/core-properties" Target="/docProps/core.xml" /><Relationship Id="customR2900EA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Kosmetička, 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povrchového čištění pleti, napařování nebo změkčování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hloubkového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Odstraňování chloupků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ruční kosmetické masáže obličeje, krku a dekoltu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pleťových masek a zábalů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Odbarvování chloupků, barvení řas a obočí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denního, večerního a fantazijního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kosmetiky, vizážistiky a barevné typologie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pleť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18.10.2026 18:16:25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https://www.nsp.cz/jednotka-prace/kosmeticka#zdravotni-zpusobilost), doložit platným zdravotním průkazem.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denního, večerního a fantazijního líčení (h41.A.2120)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této kompetenci je uvedena možnost volby kritérií. Právo volby má uchazeč. Autorizovaná osoba musí uchazeči nejpozději spolu s pozvánkou sdělit, které varianty kombinací kritérií u ní lze s ohledem na materiálně-technické vybavení ověřovat.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povrchového čištění pleti, napařování nebo změkčování pleti (h41.A.2008)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bude ošetřena pleť figuranta s tím, že ústně budou také vysvětleny způsoby ošetření dalších typů pleti včetně kontraindikací u daného typu pleti.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18.10.2026 18:16:25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18.10.2026 18:16:25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