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7298E9" Type="http://schemas.openxmlformats.org/officeDocument/2006/relationships/officeDocument" Target="/word/document.xml" /><Relationship Id="coreR347298E9" Type="http://schemas.openxmlformats.org/package/2006/relationships/metadata/core-properties" Target="/docProps/core.xml" /><Relationship Id="customR347298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povrchového čištění pleti, napařování nebo změkčování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hloubkového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Odstraňování chloupků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ruční kosmetické masáže obličeje, krku a dekoltu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pleťových masek a zábalů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Odbarvování chloupků, barvení řas a obočí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denního, večerního a fantazijního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kosmetiky, vizážistiky a barevné typologie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pleť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https://www.nsp.cz/jednotka-prace/kosmeticka#zdravotni-zpusobilost), doložit platným zdravotním průkazem.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denního, večerního a fantazijního líčení (h41.A.2120)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této kompetenci je uvedena možnost volby kritérií. Právo volby má uchazeč. Autorizovaná osoba musí uchazeči nejpozději spolu s pozvánkou sdělit, které varianty kombinací kritérií u ní lze s ohledem na materiálně-technické vybavení ověřovat.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povrchového čištění pleti, napařování nebo změkčování pleti (h41.A.2008)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bude ošetřena pleť figuranta s tím, že ústně budou také vysvětleny způsoby ošetření dalších typů pleti včetně kontraindikací u daného typu pleti.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