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4C68AA" Type="http://schemas.openxmlformats.org/officeDocument/2006/relationships/officeDocument" Target="/word/document.xml" /><Relationship Id="coreR714C68AA" Type="http://schemas.openxmlformats.org/package/2006/relationships/metadata/core-properties" Target="/docProps/core.xml" /><Relationship Id="customR714C6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Kosmetička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poradenství v oblasti kosmetického ošetřování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poradenství v oblasti dekorativní kosmetiky, vizážistiky a barevné typologie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povrchového čištění pleti, napařování nebo změkčování pleti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hloubkového čištění pleti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pleťových masek a zábalů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Odstraňování chloupků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Odbarvování chloupků, barvení řas a obočí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denního, večerního a fantazijního líčení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Vykonávání hygienicko-sanitární činnosti podle provozního řádu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Objednávání přípravků, pracovního materiálu a pomůcek pro péči o pleť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7.11.2026 17:57:28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http://katalog.nsp.cz/karta_p.aspx?id_jp=177&amp;kod_sm1=20, doložit platným zdravotním průkazem.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Provádění denního, večerního a fantazijního líčení je uvedena možnost volby kritérií. Právo volby má uchazeč. Autorizovaná osoba musí uchazeči nejpozději spolu s pozvánkou sdělit, které varianty kombinací kritérií u ní lze s ohledem na materiálně-technické vybavení ověřovat.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figurantech, které si ke zkoušce zajistí uchazeč.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7.11.2026 17:57:28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profesionální kosmetiky, Unie kosmetiček - Olga Knoblochová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Isabella Hančlová,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Unie kosmetiček - Pavel Bauer,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 České Budějovice - Věra Klorová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Kosmetička, 7.11.2026 17:57:28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