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529F2" Type="http://schemas.openxmlformats.org/officeDocument/2006/relationships/officeDocument" Target="/word/document.xml" /><Relationship Id="coreRFF529F2" Type="http://schemas.openxmlformats.org/package/2006/relationships/metadata/core-properties" Target="/docProps/core.xml" /><Relationship Id="customRFF529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28.06.2019</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Manikérka a nehtová designérka + střední vzdělání s maturitní zkouškou a alespoň 5 let odborné praxe v oboru manikúry,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Manikérka a nehtová designérka, 30.9.2026 6:00:09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5119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5E92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