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BCD1C" Type="http://schemas.openxmlformats.org/officeDocument/2006/relationships/officeDocument" Target="/word/document.xml" /><Relationship Id="coreR290BCD1C" Type="http://schemas.openxmlformats.org/package/2006/relationships/metadata/core-properties" Target="/docProps/core.xml" /><Relationship Id="customR290BCD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28.06.2019</w:t>
      </w:r>
    </w:p>
    <w:p>
      <w:pPr>
        <w:pStyle w:val="P21"/>
        <w:framePr w:w="7654" w:h="331" w:hRule="exact" w:wrap="none" w:vAnchor="page" w:hAnchor="margin" w:x="28" w:y="15940"/>
        <w:rPr>
          <w:rStyle w:val="C16"/>
          <w:rtl w:val="0"/>
        </w:rPr>
      </w:pPr>
      <w:r>
        <w:rPr>
          <w:rStyle w:val="C16"/>
          <w:rtl w:val="0"/>
        </w:rPr>
        <w:t>Manikérka a nehtová designérka, 31.7.2026 13:05:36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13:05:36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13:05:36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13:05:36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 střední vzdělání s maturitní zkouškou a alespoň 5 let odborné praxe v oboru manikúry,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31.7.2026 13:05:36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31.7.2026 13:05:36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31.7.2026 13:05:36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Manikérka a nehtová designérka, 31.7.2026 13:05:36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863A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78EE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