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795F84" Type="http://schemas.openxmlformats.org/officeDocument/2006/relationships/officeDocument" Target="/word/document.xml" /><Relationship Id="coreRB795F84" Type="http://schemas.openxmlformats.org/package/2006/relationships/metadata/core-properties" Target="/docProps/core.xml" /><Relationship Id="customRB795F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Manikérka a nehtová designérka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Zhodnocení celkového stavu rukou a nehtů a navrhování postupu ošetření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péče o přírodní nehty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pokožky rukou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umělých nehtů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depilace rukou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ruce a nehty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poradenské činnosti klientům v oblasti péče o ruce a nehty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14.10.2015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Manikérka a nehtová designérka, 30.9.2026 6:00:01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http://katalog.nsp.cz/karta_p.aspx?id_jp=178&amp;kod_sm1=20, doložit platným zdravotním průkazem).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si ke zkoušce zajistí uchazeč.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Manikérka a nehtová designérka, 30.9.2026 6:00:01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Manikérka a nehtová designérka, 30.9.2026 6:00:01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