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A49CBA" Type="http://schemas.openxmlformats.org/officeDocument/2006/relationships/officeDocument" Target="/word/document.xml" /><Relationship Id="coreR78A49CBA" Type="http://schemas.openxmlformats.org/package/2006/relationships/metadata/core-properties" Target="/docProps/core.xml" /><Relationship Id="customR78A49C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navrhování postupu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přírodní nehty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ruce a nehty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ruce a nehty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https://www.nsp.cz/jednotka-prace/manikerka-a-nehtova-desig#zdravotni-zpusobilost), doložit platným zdravotním průkazem.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činnosti budou předvedeny na figurantovi. Při zkoušce je ověřována práce na nehtech obou rukou figuranta.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