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52A8E" Type="http://schemas.openxmlformats.org/officeDocument/2006/relationships/officeDocument" Target="/word/document.xml" /><Relationship Id="coreR1852A8E" Type="http://schemas.openxmlformats.org/package/2006/relationships/metadata/core-properties" Target="/docProps/core.xml" /><Relationship Id="customR1852A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Manikérka a nehtová designérka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Zhodnocení celkového stavu rukou a nehtů a navrhování postupu ošetření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péče o přírodní nehty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pokožky rukou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umělých 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depilace rukou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ruce a nehty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poradenské činnosti klientům v oblasti péče o ruce a nehty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 do: 28.10.2024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6:04:21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"https://www.nsp.cz/jednotka-prace/manikerka-pedikerka"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https://www.nsp.cz/jednotka-prace/manikerka-pedikerka#zdravotni-zpusobilost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činnosti budou předvedeny na figurantovi. Při zkoušce je ověřována práce na nehtech obou rukou figuranta.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6:04:21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Patricia Herrera,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Jarmila Fendrychová,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6:04:21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