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4A87D" Type="http://schemas.openxmlformats.org/officeDocument/2006/relationships/officeDocument" Target="/word/document.xml" /><Relationship Id="coreR47E4A87D" Type="http://schemas.openxmlformats.org/package/2006/relationships/metadata/core-properties" Target="/docProps/core.xml" /><Relationship Id="customR47E4A8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"https://www.nsp.cz/jednotka-prace/manikerka-pedikerka"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https://www.nsp.cz/jednotka-prace/manikerka-pedikerka#zdravotni-zpusobilost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činnosti budou předvedeny na figurantovi. Při zkoušce je ověřována práce na nehtech obou rukou figuranta.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