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41F55" Type="http://schemas.openxmlformats.org/officeDocument/2006/relationships/officeDocument" Target="/word/document.xml" /><Relationship Id="coreR43441F55" Type="http://schemas.openxmlformats.org/package/2006/relationships/metadata/core-properties" Target="/docProps/core.xml" /><Relationship Id="customR43441F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24.10.2014 do: 16.12.2015</w:t>
      </w:r>
    </w:p>
    <w:p>
      <w:pPr>
        <w:pStyle w:val="P21"/>
        <w:framePr w:w="7654" w:h="331" w:hRule="exact" w:wrap="none" w:vAnchor="page" w:hAnchor="margin" w:x="28" w:y="15940"/>
        <w:rPr>
          <w:rStyle w:val="C16"/>
          <w:rtl w:val="0"/>
        </w:rPr>
      </w:pPr>
      <w:r>
        <w:rPr>
          <w:rStyle w:val="C16"/>
          <w:rtl w:val="0"/>
        </w:rPr>
        <w:t>Manikérka a nehtová designérka, 11.7.2026 2:30:46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11.7.2026 2:30:46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11.7.2026 2:30:46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11.7.2026 2:30:46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6"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kosmetička a alespoň 8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manikérka a nehtová designérka + střední vzdělání s maturitní zkouškou a alespoň 8 let odborné praxe v oboru manikúry, z toho minimálně jeden rok v období posledních dvou let před podáním žádosti o udělení autorizace.</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11.7.2026 2:30:46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11.7.2026 2:30:46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11.7.2026 2:30:46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Manikérka a nehtová designérka, 11.7.2026 2:30:46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C34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21C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