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2AFBA" Type="http://schemas.openxmlformats.org/officeDocument/2006/relationships/officeDocument" Target="/word/document.xml" /><Relationship Id="coreRA02AFBA" Type="http://schemas.openxmlformats.org/package/2006/relationships/metadata/core-properties" Target="/docProps/core.xml" /><Relationship Id="customRA02AF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16.12.2015</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6"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kosmetička a alespoň 8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manikérka a nehtová designérka + střední vzdělání s maturitní zkouškou a alespoň 8 let odborné praxe v oboru manikúry, z toho minimálně jeden rok v období posledních dvou let před podáním žádosti o udělení autorizace.</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Manikérka a nehtová designérka, 20.10.2026 12:55:07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149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E1A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