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A195A" Type="http://schemas.openxmlformats.org/officeDocument/2006/relationships/officeDocument" Target="/word/document.xml" /><Relationship Id="coreR6DDA195A" Type="http://schemas.openxmlformats.org/package/2006/relationships/metadata/core-properties" Target="/docProps/core.xml" /><Relationship Id="customR6DDA19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pracovního postupu pro práce pod napětím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kontrola pracovních a ochranných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prací pod napětím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Zrušení zajištěného pracoviště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https://www.nsp.cz/jednotka-prace/elektromechanik-pro-silno#zdravotni-zpusobilost) dle §2 vyhlášky č. 50/1978 Sb., v platném znění.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"Osvědčení o odborné způsobilosti v elektrotechnice" podle § 6 vyhlášky č. 50/1978 Sb., v platném znění.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organizována a prováděna na reálném zařízení.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 Požadavky na BOZP zahrnují i problematiku práce ve výškách.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NN, 30.9.2026 5:02:37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