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A09E0" Type="http://schemas.openxmlformats.org/officeDocument/2006/relationships/officeDocument" Target="/word/document.xml" /><Relationship Id="coreRB2A09E0" Type="http://schemas.openxmlformats.org/package/2006/relationships/metadata/core-properties" Target="/docProps/core.xml" /><Relationship Id="customRB2A09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17.6.2026 15:58:32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v kompetencích budou předvedeny na figurantovi, kterého ke zkoušce zajistí autorizovaná osoba.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kompetenci: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správného opalování.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Orientace v sortimentu kosmetických přípravků pro opalování a po opalování v soláriu. Vysvětlení využití kosmetických připravků bude realizováno na vzorcích kosmetických přípravků.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Provozování solária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minimálně dvě modelové situace, které signalizují poruchu solária a uchazeč o zkoušku uvede, jak bude porucha odstraněna.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Poskytování poradenství v oblasti správného opalování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Fototyp se zjišťuje optickou kontrolou klienta a rozhovorem s klientem. Na základě této analýzy je určen fototyp a klientovi je doporučena délka kůry.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každém studiu je jiné solárium s různými výkony trubic. Na základě určení fototypu a typu solária je klientovi určena délka kůry s ohledem na provozovaný typ solária.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17.6.2026 15:58:32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Konopík,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Král, a. s., Marcela Malechová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Renata Konopíková,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Solární studio Ergoline, Jiřina Lieblová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17.6.2026 15:58:32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