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19F6DB" Type="http://schemas.openxmlformats.org/officeDocument/2006/relationships/officeDocument" Target="/word/document.xml" /><Relationship Id="coreR4919F6DB" Type="http://schemas.openxmlformats.org/package/2006/relationships/metadata/core-properties" Target="/docProps/core.xml" /><Relationship Id="customR4919F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wellness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odborné způsobilosti podle všech stanovených kritérií.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Některé praktické činnosti budou předvedeny na figurantovi, kterého si ke zkoušce zajistí po dohodě se zkoušejícím uchazeč nebo může být figurantem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ustanovená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Ergoline - Milan Král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