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DBA3AB" Type="http://schemas.openxmlformats.org/officeDocument/2006/relationships/officeDocument" Target="/word/document.xml" /><Relationship Id="coreRDDBA3AB" Type="http://schemas.openxmlformats.org/package/2006/relationships/metadata/core-properties" Target="/docProps/core.xml" /><Relationship Id="customRDDBA3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permanentní make-up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permanentního make-upu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porušování integrity lidské kůže – permanentní make-up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20.10.2026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31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http://katalog.nsp.cz/karta_p.aspx?id_jp=101026&amp;kod_sm1=20,</w:t>
      </w:r>
    </w:p>
    <w:p>
      <w:pPr>
        <w:pStyle w:val="P27"/>
        <w:framePr w:w="591" w:h="230" w:hRule="exact" w:wrap="none" w:vAnchor="page" w:hAnchor="margin" w:x="5702" w:y="3766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6336" w:y="3766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7094" w:y="3766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8140" w:y="3766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0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256" w:y="4001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3244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528" w:y="4001"/>
        <w:rPr>
          <w:rStyle w:val="C20"/>
          <w:rtl w:val="0"/>
        </w:rPr>
      </w:pPr>
      <w:r>
        <w:rPr>
          <w:rStyle w:val="C20"/>
          <w:rtl w:val="0"/>
        </w:rPr>
        <w:t>figurantech,</w:t>
      </w:r>
    </w:p>
    <w:p>
      <w:pPr>
        <w:pStyle w:val="P27"/>
        <w:framePr w:w="461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131" w:y="40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5332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601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29" w:h="230" w:hRule="exact" w:wrap="none" w:vAnchor="page" w:hAnchor="margin" w:x="6393" w:y="40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817" w:h="230" w:hRule="exact" w:wrap="none" w:vAnchor="page" w:hAnchor="margin" w:x="6964" w:y="4001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1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2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79" w:h="230" w:hRule="exact" w:wrap="none" w:vAnchor="page" w:hAnchor="margin" w:x="955" w:y="4236"/>
        <w:rPr>
          <w:rStyle w:val="C20"/>
          <w:rtl w:val="0"/>
        </w:rPr>
      </w:pPr>
      <w:r>
        <w:rPr>
          <w:rStyle w:val="C20"/>
          <w:rtl w:val="0"/>
        </w:rPr>
        <w:t>nesplnění</w:t>
      </w:r>
    </w:p>
    <w:p>
      <w:pPr>
        <w:pStyle w:val="P27"/>
        <w:framePr w:w="615" w:h="230" w:hRule="exact" w:wrap="none" w:vAnchor="page" w:hAnchor="margin" w:x="1876" w:y="4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93" w:h="230" w:hRule="exact" w:wrap="none" w:vAnchor="page" w:hAnchor="margin" w:x="2534" w:y="4236"/>
        <w:rPr>
          <w:rStyle w:val="C20"/>
          <w:rtl w:val="0"/>
        </w:rPr>
      </w:pPr>
      <w:r>
        <w:rPr>
          <w:rStyle w:val="C20"/>
          <w:rtl w:val="0"/>
        </w:rPr>
        <w:t>„Aplikovat</w:t>
      </w:r>
    </w:p>
    <w:p>
      <w:pPr>
        <w:pStyle w:val="P27"/>
        <w:framePr w:w="1138" w:h="230" w:hRule="exact" w:wrap="none" w:vAnchor="page" w:hAnchor="margin" w:x="3470" w:y="4236"/>
        <w:rPr>
          <w:rStyle w:val="C20"/>
          <w:rtl w:val="0"/>
        </w:rPr>
      </w:pPr>
      <w:r>
        <w:rPr>
          <w:rStyle w:val="C20"/>
          <w:rtl w:val="0"/>
        </w:rPr>
        <w:t>permanentní</w:t>
      </w:r>
    </w:p>
    <w:p>
      <w:pPr>
        <w:pStyle w:val="P27"/>
        <w:framePr w:w="505" w:h="230" w:hRule="exact" w:wrap="none" w:vAnchor="page" w:hAnchor="margin" w:x="4651" w:y="4236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5140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208" w:y="4236"/>
        <w:rPr>
          <w:rStyle w:val="C20"/>
          <w:rtl w:val="0"/>
        </w:rPr>
      </w:pPr>
      <w:r>
        <w:rPr>
          <w:rStyle w:val="C20"/>
          <w:rtl w:val="0"/>
        </w:rPr>
        <w:t>up</w:t>
      </w:r>
    </w:p>
    <w:p>
      <w:pPr>
        <w:pStyle w:val="P27"/>
        <w:framePr w:w="394" w:h="230" w:hRule="exact" w:wrap="none" w:vAnchor="page" w:hAnchor="margin" w:x="5491" w:y="4236"/>
        <w:rPr>
          <w:rStyle w:val="C20"/>
          <w:rtl w:val="0"/>
        </w:rPr>
      </w:pPr>
      <w:r>
        <w:rPr>
          <w:rStyle w:val="C20"/>
          <w:rtl w:val="0"/>
        </w:rPr>
        <w:t>oční</w:t>
      </w:r>
    </w:p>
    <w:p>
      <w:pPr>
        <w:pStyle w:val="P27"/>
        <w:framePr w:w="418" w:h="230" w:hRule="exact" w:wrap="none" w:vAnchor="page" w:hAnchor="margin" w:x="5928" w:y="423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461" w:h="230" w:hRule="exact" w:wrap="none" w:vAnchor="page" w:hAnchor="margin" w:x="6388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6892" w:y="4236"/>
        <w:rPr>
          <w:rStyle w:val="C20"/>
          <w:rtl w:val="0"/>
        </w:rPr>
      </w:pPr>
      <w:r>
        <w:rPr>
          <w:rStyle w:val="C20"/>
          <w:rtl w:val="0"/>
        </w:rPr>
        <w:t>obočí</w:t>
      </w:r>
    </w:p>
    <w:p>
      <w:pPr>
        <w:pStyle w:val="P27"/>
        <w:framePr w:w="1249" w:h="230" w:hRule="exact" w:wrap="none" w:vAnchor="page" w:hAnchor="margin" w:x="7440" w:y="4236"/>
        <w:rPr>
          <w:rStyle w:val="C20"/>
          <w:rtl w:val="0"/>
        </w:rPr>
      </w:pPr>
      <w:r>
        <w:rPr>
          <w:rStyle w:val="C20"/>
          <w:rtl w:val="0"/>
        </w:rPr>
        <w:t>klientovi“nebo</w:t>
      </w:r>
    </w:p>
    <w:p>
      <w:pPr>
        <w:pStyle w:val="P27"/>
        <w:framePr w:w="615" w:h="230" w:hRule="exact" w:wrap="none" w:vAnchor="page" w:hAnchor="margin" w:x="8731" w:y="4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93" w:h="230" w:hRule="exact" w:wrap="none" w:vAnchor="page" w:hAnchor="margin" w:x="9388" w:y="4236"/>
        <w:rPr>
          <w:rStyle w:val="C20"/>
          <w:rtl w:val="0"/>
        </w:rPr>
      </w:pPr>
      <w:r>
        <w:rPr>
          <w:rStyle w:val="C20"/>
          <w:rtl w:val="0"/>
        </w:rPr>
        <w:t>„Aplikovat</w:t>
      </w:r>
    </w:p>
    <w:p>
      <w:pPr>
        <w:pStyle w:val="P27"/>
        <w:framePr w:w="113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permanentní</w:t>
      </w:r>
    </w:p>
    <w:p>
      <w:pPr>
        <w:pStyle w:val="P27"/>
        <w:framePr w:w="505" w:h="230" w:hRule="exact" w:wrap="none" w:vAnchor="page" w:hAnchor="margin" w:x="1209" w:y="4467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1699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766" w:y="4467"/>
        <w:rPr>
          <w:rStyle w:val="C20"/>
          <w:rtl w:val="0"/>
        </w:rPr>
      </w:pPr>
      <w:r>
        <w:rPr>
          <w:rStyle w:val="C20"/>
          <w:rtl w:val="0"/>
        </w:rPr>
        <w:t>up</w:t>
      </w:r>
    </w:p>
    <w:p>
      <w:pPr>
        <w:pStyle w:val="P27"/>
        <w:framePr w:w="682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konturu</w:t>
      </w:r>
    </w:p>
    <w:p>
      <w:pPr>
        <w:pStyle w:val="P27"/>
        <w:framePr w:w="250" w:h="230" w:hRule="exact" w:wrap="none" w:vAnchor="page" w:hAnchor="margin" w:x="2774" w:y="4467"/>
        <w:rPr>
          <w:rStyle w:val="C20"/>
          <w:rtl w:val="0"/>
        </w:rPr>
      </w:pPr>
      <w:r>
        <w:rPr>
          <w:rStyle w:val="C20"/>
          <w:rtl w:val="0"/>
        </w:rPr>
        <w:t>rtů</w:t>
      </w:r>
    </w:p>
    <w:p>
      <w:pPr>
        <w:pStyle w:val="P27"/>
        <w:framePr w:w="802" w:h="230" w:hRule="exact" w:wrap="none" w:vAnchor="page" w:hAnchor="margin" w:x="3067" w:y="4467"/>
        <w:rPr>
          <w:rStyle w:val="C20"/>
          <w:rtl w:val="0"/>
        </w:rPr>
      </w:pPr>
      <w:r>
        <w:rPr>
          <w:rStyle w:val="C20"/>
          <w:rtl w:val="0"/>
        </w:rPr>
        <w:t>klientovi“</w:t>
      </w:r>
    </w:p>
    <w:p>
      <w:pPr>
        <w:pStyle w:val="P27"/>
        <w:framePr w:w="116" w:h="230" w:hRule="exact" w:wrap="none" w:vAnchor="page" w:hAnchor="margin" w:x="391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70" w:y="44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617" w:y="44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5764" w:y="4467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1359" w:h="230" w:hRule="exact" w:wrap="none" w:vAnchor="page" w:hAnchor="margin" w:x="6744" w:y="4467"/>
        <w:rPr>
          <w:rStyle w:val="C20"/>
          <w:rtl w:val="0"/>
        </w:rPr>
      </w:pPr>
      <w:r>
        <w:rPr>
          <w:rStyle w:val="C20"/>
          <w:rtl w:val="0"/>
        </w:rPr>
        <w:t>permanentního</w:t>
      </w:r>
    </w:p>
    <w:p>
      <w:pPr>
        <w:pStyle w:val="P27"/>
        <w:framePr w:w="505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8635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702" w:y="4467"/>
        <w:rPr>
          <w:rStyle w:val="C20"/>
          <w:rtl w:val="0"/>
        </w:rPr>
      </w:pPr>
      <w:r>
        <w:rPr>
          <w:rStyle w:val="C20"/>
          <w:rtl w:val="0"/>
        </w:rPr>
        <w:t>upu</w:t>
      </w:r>
    </w:p>
    <w:p>
      <w:pPr>
        <w:pStyle w:val="P27"/>
        <w:framePr w:w="337" w:h="230" w:hRule="exact" w:wrap="none" w:vAnchor="page" w:hAnchor="margin" w:x="9096" w:y="446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93" w:h="230" w:hRule="exact" w:wrap="none" w:vAnchor="page" w:hAnchor="margin" w:x="9475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91" w:h="230" w:hRule="exact" w:wrap="none" w:vAnchor="page" w:hAnchor="margin" w:x="633" w:y="4697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1267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07" w:h="230" w:hRule="exact" w:wrap="none" w:vAnchor="page" w:hAnchor="margin" w:x="1536" w:y="4697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562" w:h="230" w:hRule="exact" w:wrap="none" w:vAnchor="page" w:hAnchor="margin" w:x="1785" w:y="469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437" w:h="230" w:hRule="exact" w:wrap="none" w:vAnchor="page" w:hAnchor="margin" w:x="2390" w:y="469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46" w:h="230" w:hRule="exact" w:wrap="none" w:vAnchor="page" w:hAnchor="margin" w:x="2870" w:y="46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3859" w:y="4697"/>
        <w:rPr>
          <w:rStyle w:val="C20"/>
          <w:rtl w:val="0"/>
        </w:rPr>
      </w:pPr>
      <w:r>
        <w:rPr>
          <w:rStyle w:val="C20"/>
          <w:rtl w:val="0"/>
        </w:rPr>
        <w:t>neprovádí</w:t>
      </w:r>
    </w:p>
    <w:p>
      <w:pPr>
        <w:pStyle w:val="P27"/>
        <w:framePr w:w="130" w:h="230" w:hRule="exact" w:wrap="none" w:vAnchor="page" w:hAnchor="margin" w:x="4804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977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5779" w:y="4697"/>
        <w:rPr>
          <w:rStyle w:val="C20"/>
          <w:rtl w:val="0"/>
        </w:rPr>
      </w:pPr>
      <w:r>
        <w:rPr>
          <w:rStyle w:val="C20"/>
          <w:rtl w:val="0"/>
        </w:rPr>
        <w:t>nevyhověl</w:t>
      </w:r>
    </w:p>
    <w:p>
      <w:pPr>
        <w:pStyle w:val="P27"/>
        <w:framePr w:w="116" w:h="230" w:hRule="exact" w:wrap="none" w:vAnchor="page" w:hAnchor="margin" w:x="6734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92" w:y="4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7440" w:y="4697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7867" w:y="46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5167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5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5167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5167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516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5167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5167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5167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5167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398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398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398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3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398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3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398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398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398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398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398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6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6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628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628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62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49" w:h="230" w:hRule="exact" w:wrap="none" w:vAnchor="page" w:hAnchor="margin" w:x="5414" w:y="5628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605" w:h="230" w:hRule="exact" w:wrap="none" w:vAnchor="page" w:hAnchor="margin" w:x="6206" w:y="56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854" w:y="5628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790" w:y="562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24" w:y="5628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648" w:y="5628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411" w:y="58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73" w:h="230" w:hRule="exact" w:wrap="none" w:vAnchor="page" w:hAnchor="margin" w:x="2544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60" w:y="585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16" w:y="5859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28" w:y="58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10" w:y="585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32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32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656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65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656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3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3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6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6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4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4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4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4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49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4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72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7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7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19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19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1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6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8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8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89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8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8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89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3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3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6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36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3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36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3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36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3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3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3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3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59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5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59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5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59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100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10068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10068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10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100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10068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100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10068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10068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1006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10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1006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1006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539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284" w:h="230" w:hRule="exact" w:wrap="none" w:vAnchor="page" w:hAnchor="margin" w:x="1521" w:y="105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1848" w:y="1053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947" w:y="105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774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77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77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774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77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774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774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774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774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774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1004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1004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239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475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475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4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710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710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710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71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710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7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945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94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945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2180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2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2180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2180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2180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415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415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02" w:h="230" w:hRule="exact" w:wrap="none" w:vAnchor="page" w:hAnchor="margin" w:x="1224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651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651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886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886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886"/>
        <w:rPr>
          <w:rStyle w:val="C20"/>
          <w:rtl w:val="0"/>
        </w:rPr>
      </w:pPr>
      <w:r>
        <w:rPr>
          <w:rStyle w:val="C20"/>
          <w:rtl w:val="0"/>
        </w:rPr>
        <w:t>parasity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3121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312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356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356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8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8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4062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297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5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532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532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76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5003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5003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47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473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473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473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20.10.2026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66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Kritérium„Prokázat</w:t>
      </w:r>
    </w:p>
    <w:p>
      <w:pPr>
        <w:pStyle w:val="P27"/>
        <w:framePr w:w="649" w:h="230" w:hRule="exact" w:wrap="none" w:vAnchor="page" w:hAnchor="margin" w:x="1737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1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468" w:y="239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04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87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39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571" w:y="239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396" w:y="2394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86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865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3100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570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805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805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805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4041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4041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4041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276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276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276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276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511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511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746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746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98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9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98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62" w:h="230" w:hRule="exact" w:wrap="none" w:vAnchor="page" w:hAnchor="margin" w:x="3955" w:y="4981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437" w:h="230" w:hRule="exact" w:wrap="none" w:vAnchor="page" w:hAnchor="margin" w:x="4560" w:y="49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5040" w:y="4981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20.10.2026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APEM - Aliance pro rozvoj permanentního make-upu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20.10.2026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