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746566" Type="http://schemas.openxmlformats.org/officeDocument/2006/relationships/officeDocument" Target="/word/document.xml" /><Relationship Id="coreR6D746566" Type="http://schemas.openxmlformats.org/package/2006/relationships/metadata/core-properties" Target="/docProps/core.xml" /><Relationship Id="customR6D7465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báze znalostí (kód: 72-001-R)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báze znalostí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fungování technických a programových prostředků, na nichž je báze znalostí provozována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přístupových algoritmů k jednotlivým záznamům v bázi znalostí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metod tvorby záznamů, ukládaných v bázi znalostí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ochran obsahu báze znalostí.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autorizace přístupu oprávněných osob k jednotlivým záznamům v bázi znalostí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Zálohování a archivace nepoužívaných záznamů v bázi znalostí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18.10.2021</w:t>
      </w:r>
    </w:p>
    <w:p>
      <w:pPr>
        <w:pStyle w:val="P21"/>
        <w:framePr w:w="7654" w:h="331" w:hRule="exact" w:wrap="none" w:vAnchor="page" w:hAnchor="margin" w:x="28" w:y="15940"/>
        <w:rPr>
          <w:rStyle w:val="C16"/>
          <w:rtl w:val="0"/>
        </w:rPr>
      </w:pPr>
      <w:r>
        <w:rPr>
          <w:rStyle w:val="C16"/>
          <w:rtl w:val="0"/>
        </w:rPr>
        <w:t>Správce báze znalostí, 28.5.2026 4:20:32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fungování technických a programových prostředků, na nichž je báze znalostí provozována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technickou sestavu prostředků zabezpečujících provoz báze znalostí i jejich funkčních a uživatelských vlastností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software využívaný k podpoře managementu znalostí a jeho uplatnění při fungování báze znalostí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Využívání přístupových algoritmů k jednotlivým záznamům v bázi znalostí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Aplikovat vhodný přístupový algoritmus</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Rychle a úspěšně vyhledat záznam v bázi znalostí</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Aplikace metod tvorby záznamů, ukládaných v bázi znalostí</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Popsat strukturu možného uložení záznamu v bázi znalostí</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Podrobně specifikovat požadavky na kodifikaci záznamu před jeho uložením do báze znalostí</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Zkontrolovat záznam, jeho případné modifikace a jeho následné uložení do báze znalostí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3"/>
        <w:framePr w:w="10710" w:h="340" w:hRule="exact" w:wrap="none" w:vAnchor="page" w:hAnchor="margin" w:x="28" w:y="10569"/>
        <w:rPr>
          <w:rStyle w:val="C18"/>
          <w:rtl w:val="0"/>
        </w:rPr>
      </w:pPr>
      <w:r>
        <w:rPr>
          <w:rStyle w:val="C18"/>
          <w:rtl w:val="0"/>
        </w:rPr>
        <w:t>Využívání ochran obsahu báze znalostí.</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607" w:hRule="exact" w:wrap="none" w:vAnchor="page" w:hAnchor="margin" w:x="45" w:y="11384"/>
        <w:rPr>
          <w:rStyle w:val="C3"/>
          <w:rtl w:val="0"/>
        </w:rPr>
      </w:pPr>
    </w:p>
    <w:p>
      <w:pPr>
        <w:pStyle w:val="P13"/>
        <w:framePr w:w="6658" w:h="480" w:hRule="exact" w:wrap="none" w:vAnchor="page" w:hAnchor="margin" w:x="71" w:y="11440"/>
        <w:rPr>
          <w:rStyle w:val="C11"/>
          <w:rtl w:val="0"/>
        </w:rPr>
      </w:pPr>
      <w:r>
        <w:rPr>
          <w:rStyle w:val="C11"/>
          <w:rtl w:val="0"/>
        </w:rPr>
        <w:t>a) Charakterizovat principy fungování a aplikace ochran báze znalostí proti technickým poruchám zařízení, na kterém je provozována</w:t>
      </w:r>
    </w:p>
    <w:p>
      <w:pPr>
        <w:pStyle w:val="P28"/>
        <w:framePr w:w="3921" w:h="607" w:hRule="exact" w:wrap="none" w:vAnchor="page" w:hAnchor="margin" w:x="6800" w:y="11384"/>
        <w:rPr>
          <w:rStyle w:val="C3"/>
          <w:rtl w:val="0"/>
        </w:rPr>
      </w:pPr>
    </w:p>
    <w:p>
      <w:pPr>
        <w:pStyle w:val="P29"/>
        <w:framePr w:w="3839" w:h="480" w:hRule="exact" w:wrap="none" w:vAnchor="page" w:hAnchor="margin" w:x="6856" w:y="11440"/>
        <w:rPr>
          <w:rStyle w:val="C21"/>
          <w:rtl w:val="0"/>
        </w:rPr>
      </w:pPr>
      <w:r>
        <w:rPr>
          <w:rStyle w:val="C21"/>
          <w:rtl w:val="0"/>
        </w:rPr>
        <w:t>Písemné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Popsat principy fungování a aplikace ochran báze znalostí proti poškození nevhodným zadáním požadavku na interakci s jejím obsahem</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Písemné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Popsat principy fungování a aplikace ochran báze znalostí proti neoprávněnému přístupu neautorizovaných osob k jejímu obsahu</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Písemné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d) Charakterizovat principy fungování a aplikace ochran báze znalostí proti externím útokům</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Písemné ověření</w:t>
      </w:r>
    </w:p>
    <w:p>
      <w:pPr>
        <w:pStyle w:val="P32"/>
        <w:framePr w:w="10710" w:h="248" w:hRule="exact" w:wrap="none" w:vAnchor="page" w:hAnchor="margin" w:x="28" w:y="13925"/>
        <w:rPr>
          <w:rStyle w:val="C23"/>
          <w:rtl w:val="0"/>
        </w:rPr>
      </w:pPr>
      <w:r>
        <w:rPr>
          <w:rStyle w:val="C23"/>
          <w:rtl w:val="0"/>
        </w:rPr>
        <w:t>Je třeba úspěšně splnit všechna kritéria.</w:t>
      </w:r>
    </w:p>
    <w:p>
      <w:pPr>
        <w:pStyle w:val="P21"/>
        <w:framePr w:w="7654" w:h="331" w:hRule="exact" w:wrap="none" w:vAnchor="page" w:hAnchor="margin" w:x="28" w:y="15940"/>
        <w:rPr>
          <w:rStyle w:val="C16"/>
          <w:rtl w:val="0"/>
        </w:rPr>
      </w:pPr>
      <w:r>
        <w:rPr>
          <w:rStyle w:val="C16"/>
          <w:rtl w:val="0"/>
        </w:rPr>
        <w:t>Správce báze znalostí, 28.5.2026 4:20:32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autorizace přístupu oprávněných osob k jednotlivým záznamům v bázi znalostí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používané metody autorizace přístupu k obsahu báze znalostí a podmínek jejich aplikace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postup přidělení autorizačního kódu osobě oprávněné k přístupu k obsahu báze znalostí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Přidělit nový a ověřit stávající autorizační kód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Zálohování a archivace nepoužívaných záznamů v bázi znalostí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používané metody zálohování záznamů z báze znalostí a specifikovat podmínky jejich aplikace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používané metody archivace již zastaralých záznamů z báze znalostí a specifikovat podmínky jejich aplikace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Zálohovat záznam v bázi znalostí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Archivovat již nevyhovující záznam v bázi znalostí a nahradit jej záznamem novým.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báze znalostí, 28.5.2026 4:20:32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použije pro písemné ověřování formu testu, musí dodržet následující pravidla: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75 % správně zodpovězených otázek s tím, že pro každé kritérium musí být správně zodpovězeno alespoň 50 % otázek.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testu má zkoušený k dispozici výběr z 3‒4 alternativních odpovědí, z nichž pouze jedna je správná. Autorizovaná osoba musí doložit zdrojový soubor otázek čítající více než 100 otázek.</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ověření slouží k prověření znalostí širších souvislostí týkajících se praktické dovednosti, jejíž zvládnutí musí uchazeč prokázat praktickým předvedením postupu řešení zadaného reprezentativního příkladu z aplikační praxe.</w:t>
      </w:r>
    </w:p>
    <w:p>
      <w:pPr>
        <w:pStyle w:val="P33"/>
        <w:framePr w:w="10766" w:h="1837"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Výsledné hodnocení</w:t>
      </w:r>
    </w:p>
    <w:p>
      <w:pPr>
        <w:keepNext w:val="0"/>
        <w:keepLines w:val="0"/>
        <w:framePr w:w="10766" w:h="1497"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báze znalostí, 28.5.2026 4:20:32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aplikovaná informatika a nejméně 5 let praxe jako správce báze dat, z toho minimálně jeden rok v období posledních dvou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bakalářské vzdělání v oboru aplikovaná informatika nebo v oboru inženýrská informatika a nejméně 5 let praxe v oblasti zpracování dat a zpracování znalostí, z toho minimálně jeden rok v období posledních dvou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ČR, www.mpsv.cz.</w:t>
      </w:r>
    </w:p>
    <w:p>
      <w:pPr>
        <w:pStyle w:val="P33"/>
        <w:framePr w:w="10766" w:h="3469"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Sestava prostředků informační a komunikační technologie podporující provoz expertních systémů. Tzn. pracovní stanice vybavená PC síťově propojeným se servery, vybavenými vyhledávacími programy zpřístupňujícími obsah velkokapacitních pamětí s uloženým obsahem báze dat, báze znalostí a báze modelů.</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Zdrojový soubor otázek v počtu větším jak 100 otázek (v případě, že je použit pro písemné ověřování test).</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na praktické předvedení)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 báze znalostí, 28.5.2026 4:20:32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na každou z ověřovaných kompetencí. Zkouška nemůže být rozložena do více dní.</w:t>
      </w:r>
    </w:p>
    <w:p>
      <w:pPr>
        <w:pStyle w:val="P21"/>
        <w:framePr w:w="7654" w:h="331" w:hRule="exact" w:wrap="none" w:vAnchor="page" w:hAnchor="margin" w:x="28" w:y="15940"/>
        <w:rPr>
          <w:rStyle w:val="C16"/>
          <w:rtl w:val="0"/>
        </w:rPr>
      </w:pPr>
      <w:r>
        <w:rPr>
          <w:rStyle w:val="C16"/>
          <w:rtl w:val="0"/>
        </w:rPr>
        <w:t>Správce báze znalostí, 28.5.2026 4:20:32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management a administrativu,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 ing. Zbyněk Pitra, DrSc. – Management Consulting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Hradec Králové, fakulta informatiky a managementu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Moravská vysoká škola Olomouc, o. p. s.</w:t>
      </w:r>
    </w:p>
    <w:p>
      <w:pPr>
        <w:pStyle w:val="P21"/>
        <w:framePr w:w="7654" w:h="331" w:hRule="exact" w:wrap="none" w:vAnchor="page" w:hAnchor="margin" w:x="28" w:y="15940"/>
        <w:rPr>
          <w:rStyle w:val="C16"/>
          <w:rtl w:val="0"/>
        </w:rPr>
      </w:pPr>
      <w:r>
        <w:rPr>
          <w:rStyle w:val="C16"/>
          <w:rtl w:val="0"/>
        </w:rPr>
        <w:t>Správce báze znalostí, 28.5.2026 4:20:32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7E5D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C7A9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