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A58AD" Type="http://schemas.openxmlformats.org/officeDocument/2006/relationships/officeDocument" Target="/word/document.xml" /><Relationship Id="coreR28EA58AD" Type="http://schemas.openxmlformats.org/package/2006/relationships/metadata/core-properties" Target="/docProps/core.xml" /><Relationship Id="customR28EA5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zapojení sběrnicového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radiofrekvenčního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Odzkoušení a nastavení uživatelských funkcí sběrnicového a radiofrekvenčního systému v interiéru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uživatelského manuálu systému, zaškolení koncového uživatele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nových přístrojů do sběrnicového a radiofrekvenčního systému, znovunastavení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systému inteligentní instalace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o práci a provozní dokumentace zařízení je prakticky ověřována ve vazbě na plnění kritérií kompetencí Měření základních elektrických veličin – Instalace nových přístrojů do sběrnicového a radiofrekvenčního systému, znovunastavení systému.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inteligentních elektroinstalací, 30.9.2026 4:46:08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