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90F99" Type="http://schemas.openxmlformats.org/officeDocument/2006/relationships/officeDocument" Target="/word/document.xml" /><Relationship Id="coreR11790F99" Type="http://schemas.openxmlformats.org/package/2006/relationships/metadata/core-properties" Target="/docProps/core.xml" /><Relationship Id="customR11790F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a provoz prodejního webu (e-shopu) s využitím platformy a jeho efektivní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on-line propagačních nástrojů pro prezentaci zboží a služeb na prodejním webu (e-shopu) a sociálních sítích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Uplatňování zásad logistiky v internetovém obchodě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20.10.2026 9:51:46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písemné ověření formou úloh, výpočtů a popisů, které zaručí splnění příslušného kritéria. Uchazeč na otázky zadané autorizovanou osobou odpovídá volnou formou.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 a obchodní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b),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on-line propagačních nástrojů pro prezentaci zboží a služeb na prodejním webu (e-shopu) a sociálních sítích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 a e),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d),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kritéria hodnocení a), c), e), f).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Jednání ve styku se zákazníky, obchodními partnery a kontrolními orgány v souladu s platnou legislativou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a e). 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musí tuto situaci konstruktivně vyřešit.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úkolů uvedených v hodnoticích kritériích, konkrétně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e), f) je potřeba poskytnout uchazeči firemní dokumenty (je na rozhodnutí autorizované osoby, zda se bude jednat o fiktivní či reálnou firmu),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20.10.2026 9:51:46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VESNA,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Informační Společnosti,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O2 Czech republic,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MYPS,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20.10.2026 9:51:46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