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5126C" Type="http://schemas.openxmlformats.org/officeDocument/2006/relationships/officeDocument" Target="/word/document.xml" /><Relationship Id="coreR2955126C" Type="http://schemas.openxmlformats.org/package/2006/relationships/metadata/core-properties" Target="/docProps/core.xml" /><Relationship Id="customR29551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úkolů, které si autorizovaná osoba předem připraví a rozpracuje na základě daných kritérií. Pro písemné ověřování lze zvolit i formu testu.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připraví pracoviště a potřebný inventář. Připraví míchané nápoje podle zadání, bude hodnocena obsluha hosta, hodnocení úrovně komunikace s hostem, společenské a profesionální chování, správnost vyúčtování s hostem, nabídka doplňkového sortimentu, případně služeb.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kontrolována kvalita vykonané práce a organizace práce na pracovišti.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