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E67B0" Type="http://schemas.openxmlformats.org/officeDocument/2006/relationships/officeDocument" Target="/word/document.xml" /><Relationship Id="coreR632E67B0" Type="http://schemas.openxmlformats.org/package/2006/relationships/metadata/core-properties" Target="/docProps/core.xml" /><Relationship Id="customR632E67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(kód: 23-041-H)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pravidelných servisních prohlídek motocyklů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podvozkových částí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hnacího agregátu a převodového ústrojí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systémů řízení motorů, systému přípravy směsi a výfukového systému motocyklů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oprava elektrických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nových motocyklů, příprava k prodeji, montáž příslušenství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motocyklů, 25.10.2026 2:12:28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http://katalog.nsp.cz/karta_p.aspx?kod_sm1=37&amp;id_jp=102481).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technologických postupů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podvozkových částí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předvedení na předním kole, které je namontováno na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provést společně s b) druhé kompetence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předvedení na předním kole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jedná se o jednu přední vidlici již demontovanou z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hnacího agregátu a převodového ústrojí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 motocykl bude před úkonem odstrojen (nádrž, kapotáže, atd.)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d), e) motor je před úkonem demontován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převodovka je před úkonem demontována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splnit všechna kritéria daná hodnoticím 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motocyklů, 25.10.2026 2:12:28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Yamaha Motor Middle Europe CZ- Čestlice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motocyklů, 25.10.2026 2:12:28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