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FF116F" Type="http://schemas.openxmlformats.org/officeDocument/2006/relationships/officeDocument" Target="/word/document.xml" /><Relationship Id="coreR49FF116F" Type="http://schemas.openxmlformats.org/package/2006/relationships/metadata/core-properties" Target="/docProps/core.xml" /><Relationship Id="customR49FF11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Detektiv zpravodajský pracovník (kód: 68-010-R)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Detektiv zpravodajský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normách a ustanoveních s důrazem na bezpečnostněprávní problematiku a ochranu osobních údajů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Uplatňování forem, metod a prostředků soukromé detektivní činnosti a jejich praktické naplňování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Ovládání prostředků a pomůcek pro zpravodajskou činnost v rámci soukromé detektivní činnosti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Dokumentování a vyhodnocování informací, jejich evidence a příprava k předání klientovi (zpravodajská činnost)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a analyzování informací při zpravodajské práci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18.02.2015 do: 07.09.2021</w:t>
      </w:r>
    </w:p>
    <w:p>
      <w:pPr>
        <w:pStyle w:val="P21"/>
        <w:framePr w:w="7654" w:h="331" w:hRule="exact" w:wrap="none" w:vAnchor="page" w:hAnchor="margin" w:x="28" w:y="15940"/>
        <w:rPr>
          <w:rStyle w:val="C16"/>
          <w:rtl w:val="0"/>
        </w:rPr>
      </w:pPr>
      <w:r>
        <w:rPr>
          <w:rStyle w:val="C16"/>
          <w:rtl w:val="0"/>
        </w:rPr>
        <w:t>Detektiv zpravodajský pracovník, 17.4.2026 3:26:09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bezpečnostněprávní problematiku a ochranu osobních údajů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ústavním právu s důrazem na soukromou detektivní činnost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a obchodním právu s důrazem na typické smluvní vztahy v soukromé detektivní činnosti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pracovním právu a daňových předpisech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a ústní ověření</w:t>
      </w:r>
    </w:p>
    <w:p>
      <w:pPr>
        <w:pStyle w:val="P16"/>
        <w:framePr w:w="6710" w:h="831" w:hRule="exact" w:wrap="none" w:vAnchor="page" w:hAnchor="margin" w:x="45" w:y="5555"/>
        <w:rPr>
          <w:rStyle w:val="C3"/>
          <w:rtl w:val="0"/>
        </w:rPr>
      </w:pPr>
    </w:p>
    <w:p>
      <w:pPr>
        <w:pStyle w:val="P17"/>
        <w:framePr w:w="6658" w:h="704" w:hRule="exact" w:wrap="none" w:vAnchor="page" w:hAnchor="margin" w:x="71" w:y="5611"/>
        <w:rPr>
          <w:rStyle w:val="C13"/>
          <w:rtl w:val="0"/>
        </w:rPr>
      </w:pPr>
      <w:r>
        <w:rPr>
          <w:rStyle w:val="C13"/>
          <w:rtl w:val="0"/>
        </w:rPr>
        <w:t>d) Orientovat se v trestním právu, trestním řádu, správního práva a správního řádu s důrazem na přestupkový zákon a zákon o zbraních a střelivu</w:t>
      </w:r>
    </w:p>
    <w:p>
      <w:pPr>
        <w:pStyle w:val="P30"/>
        <w:framePr w:w="3921" w:h="831" w:hRule="exact" w:wrap="none" w:vAnchor="page" w:hAnchor="margin" w:x="6800" w:y="5555"/>
        <w:rPr>
          <w:rStyle w:val="C3"/>
          <w:rtl w:val="0"/>
        </w:rPr>
      </w:pPr>
    </w:p>
    <w:p>
      <w:pPr>
        <w:pStyle w:val="P31"/>
        <w:framePr w:w="3839" w:h="704" w:hRule="exact" w:wrap="none" w:vAnchor="page" w:hAnchor="margin" w:x="6856" w:y="5611"/>
        <w:rPr>
          <w:rStyle w:val="C22"/>
          <w:rtl w:val="0"/>
        </w:rPr>
      </w:pPr>
      <w:r>
        <w:rPr>
          <w:rStyle w:val="C22"/>
          <w:rtl w:val="0"/>
        </w:rPr>
        <w:t>Písemné a ústní ověření</w:t>
      </w:r>
    </w:p>
    <w:p>
      <w:pPr>
        <w:pStyle w:val="P12"/>
        <w:framePr w:w="6710" w:h="607" w:hRule="exact" w:wrap="none" w:vAnchor="page" w:hAnchor="margin" w:x="45" w:y="6386"/>
        <w:rPr>
          <w:rStyle w:val="C3"/>
          <w:rtl w:val="0"/>
        </w:rPr>
      </w:pPr>
    </w:p>
    <w:p>
      <w:pPr>
        <w:pStyle w:val="P13"/>
        <w:framePr w:w="6658" w:h="480" w:hRule="exact" w:wrap="none" w:vAnchor="page" w:hAnchor="margin" w:x="71" w:y="6442"/>
        <w:rPr>
          <w:rStyle w:val="C11"/>
          <w:rtl w:val="0"/>
        </w:rPr>
      </w:pPr>
      <w:r>
        <w:rPr>
          <w:rStyle w:val="C11"/>
          <w:rtl w:val="0"/>
        </w:rPr>
        <w:t>e) Aplikovat zákon o svobodném přístupu k informacím a zákon o ochraně osobních údajů</w:t>
      </w:r>
    </w:p>
    <w:p>
      <w:pPr>
        <w:pStyle w:val="P28"/>
        <w:framePr w:w="3921" w:h="607" w:hRule="exact" w:wrap="none" w:vAnchor="page" w:hAnchor="margin" w:x="6800" w:y="6386"/>
        <w:rPr>
          <w:rStyle w:val="C3"/>
          <w:rtl w:val="0"/>
        </w:rPr>
      </w:pPr>
    </w:p>
    <w:p>
      <w:pPr>
        <w:pStyle w:val="P29"/>
        <w:framePr w:w="3839" w:h="480" w:hRule="exact" w:wrap="none" w:vAnchor="page" w:hAnchor="margin" w:x="6856" w:y="6442"/>
        <w:rPr>
          <w:rStyle w:val="C21"/>
          <w:rtl w:val="0"/>
        </w:rPr>
      </w:pPr>
      <w:r>
        <w:rPr>
          <w:rStyle w:val="C21"/>
          <w:rtl w:val="0"/>
        </w:rPr>
        <w:t>Písemné a ústní ověření</w:t>
      </w:r>
    </w:p>
    <w:p>
      <w:pPr>
        <w:pStyle w:val="P16"/>
        <w:framePr w:w="6710" w:h="376" w:hRule="exact" w:wrap="none" w:vAnchor="page" w:hAnchor="margin" w:x="45" w:y="6993"/>
        <w:rPr>
          <w:rStyle w:val="C3"/>
          <w:rtl w:val="0"/>
        </w:rPr>
      </w:pPr>
    </w:p>
    <w:p>
      <w:pPr>
        <w:pStyle w:val="P17"/>
        <w:framePr w:w="6658" w:h="249" w:hRule="exact" w:wrap="none" w:vAnchor="page" w:hAnchor="margin" w:x="71" w:y="7049"/>
        <w:rPr>
          <w:rStyle w:val="C13"/>
          <w:rtl w:val="0"/>
        </w:rPr>
      </w:pPr>
      <w:r>
        <w:rPr>
          <w:rStyle w:val="C13"/>
          <w:rtl w:val="0"/>
        </w:rPr>
        <w:t>f) Orientovat se v zákoně o Policii České republiky a Obecní policii</w:t>
      </w:r>
    </w:p>
    <w:p>
      <w:pPr>
        <w:pStyle w:val="P30"/>
        <w:framePr w:w="3921" w:h="376" w:hRule="exact" w:wrap="none" w:vAnchor="page" w:hAnchor="margin" w:x="6800" w:y="6993"/>
        <w:rPr>
          <w:rStyle w:val="C3"/>
          <w:rtl w:val="0"/>
        </w:rPr>
      </w:pPr>
    </w:p>
    <w:p>
      <w:pPr>
        <w:pStyle w:val="P31"/>
        <w:framePr w:w="3839" w:h="249" w:hRule="exact" w:wrap="none" w:vAnchor="page" w:hAnchor="margin" w:x="6856" w:y="7049"/>
        <w:rPr>
          <w:rStyle w:val="C22"/>
          <w:rtl w:val="0"/>
        </w:rPr>
      </w:pPr>
      <w:r>
        <w:rPr>
          <w:rStyle w:val="C22"/>
          <w:rtl w:val="0"/>
        </w:rPr>
        <w:t>Písemné a ústní ověření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Uplatňování forem, metod a prostředků soukromé detektivní činnosti a jejich praktické naplňování</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a) Realizovat formy detektivní činnosti- detektivní dohled a ochrana, detektivní pátrání, detektivní prověrka, detektivní rozkrývání a detektivní zpravodajství</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b) Vysvětlit metody soukromé detektivní činnosti včetně kriminalistických postupů a zpravodajské sociotechniky</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Písemné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c) Charakterizovat kriminologické, kriminalistické, psychologické a zpravodajské aspekty v soukromé detektivní činnosti</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Písemné a ústní ověření</w:t>
      </w:r>
    </w:p>
    <w:p>
      <w:pPr>
        <w:pStyle w:val="P16"/>
        <w:framePr w:w="6710" w:h="607" w:hRule="exact" w:wrap="none" w:vAnchor="page" w:hAnchor="margin" w:x="45" w:y="10779"/>
        <w:rPr>
          <w:rStyle w:val="C3"/>
          <w:rtl w:val="0"/>
        </w:rPr>
      </w:pPr>
    </w:p>
    <w:p>
      <w:pPr>
        <w:pStyle w:val="P17"/>
        <w:framePr w:w="6658" w:h="480" w:hRule="exact" w:wrap="none" w:vAnchor="page" w:hAnchor="margin" w:x="71" w:y="10835"/>
        <w:rPr>
          <w:rStyle w:val="C13"/>
          <w:rtl w:val="0"/>
        </w:rPr>
      </w:pPr>
      <w:r>
        <w:rPr>
          <w:rStyle w:val="C13"/>
          <w:rtl w:val="0"/>
        </w:rPr>
        <w:t>d) Předvést použití vhodných komunikačních technik a psychologie osobnosti v rámci uplatňování metod soukromé detektivní činnosti</w:t>
      </w:r>
    </w:p>
    <w:p>
      <w:pPr>
        <w:pStyle w:val="P30"/>
        <w:framePr w:w="3921" w:h="607" w:hRule="exact" w:wrap="none" w:vAnchor="page" w:hAnchor="margin" w:x="6800" w:y="10779"/>
        <w:rPr>
          <w:rStyle w:val="C3"/>
          <w:rtl w:val="0"/>
        </w:rPr>
      </w:pPr>
    </w:p>
    <w:p>
      <w:pPr>
        <w:pStyle w:val="P31"/>
        <w:framePr w:w="3839" w:h="480" w:hRule="exact" w:wrap="none" w:vAnchor="page" w:hAnchor="margin" w:x="6856" w:y="10835"/>
        <w:rPr>
          <w:rStyle w:val="C22"/>
          <w:rtl w:val="0"/>
        </w:rPr>
      </w:pPr>
      <w:r>
        <w:rPr>
          <w:rStyle w:val="C22"/>
          <w:rtl w:val="0"/>
        </w:rPr>
        <w:t>Praktické předvedení a ústní ověření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e) Charakterizovat jednotlivé zdroje informací (otevřené, speciální) s důrazem na možnou důkazní hodnotu a znalost zpravodajského cyklu</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Písemné a ústní ověření</w:t>
      </w:r>
    </w:p>
    <w:p>
      <w:pPr>
        <w:pStyle w:val="P32"/>
        <w:framePr w:w="10710" w:h="248" w:hRule="exact" w:wrap="none" w:vAnchor="page" w:hAnchor="margin" w:x="28" w:y="12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17.4.2026 3:26:09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prostředků a pomůcek pro zpravodajskou činnost v rámci soukromé detektivní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kriminalistických, taktických a technických metodách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Pořídit fotografické, filmové a zvukové záznamy s ohledem na legálnost a nelegálnost takovýchto postupů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metody vyhledávání skrytých odposlechových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možnosti využití detektorů kovů, optických prostředků a prostředků nočního vidění v činnosti soukromé bezpečnostní služby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použití obranných prostředků při výkonu detektivní činnosti s důrazem na znalost okolností vylučujících protiprávnost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Dokumentování a vyhodnocování informací, jejich evidence a příprava k předání klientovi (zpravodajská činnost)</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Vysvětlit popis postupu při analýze a třídění informací v rámci zpravodajského postupu a dokumentování jednotlivých zpravodajských produktů</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Vysvětlit analýzu informací o činnostech osob, průběhu událostí, situací a jevů a jejich legalizaci</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12"/>
        <w:framePr w:w="6710" w:h="831" w:hRule="exact" w:wrap="none" w:vAnchor="page" w:hAnchor="margin" w:x="45" w:y="8552"/>
        <w:rPr>
          <w:rStyle w:val="C3"/>
          <w:rtl w:val="0"/>
        </w:rPr>
      </w:pPr>
    </w:p>
    <w:p>
      <w:pPr>
        <w:pStyle w:val="P13"/>
        <w:framePr w:w="6658" w:h="704" w:hRule="exact" w:wrap="none" w:vAnchor="page" w:hAnchor="margin" w:x="71" w:y="8608"/>
        <w:rPr>
          <w:rStyle w:val="C11"/>
          <w:rtl w:val="0"/>
        </w:rPr>
      </w:pPr>
      <w:r>
        <w:rPr>
          <w:rStyle w:val="C11"/>
          <w:rtl w:val="0"/>
        </w:rPr>
        <w:t>c) Vysvětlit oprávněnost a povinnost evidování výsledků zpravodajského dokumentování s ohledem na zákon o ochranně osobních údajů, a zákon o utajovaných informacích</w:t>
      </w:r>
    </w:p>
    <w:p>
      <w:pPr>
        <w:pStyle w:val="P28"/>
        <w:framePr w:w="3921" w:h="831" w:hRule="exact" w:wrap="none" w:vAnchor="page" w:hAnchor="margin" w:x="6800" w:y="8552"/>
        <w:rPr>
          <w:rStyle w:val="C3"/>
          <w:rtl w:val="0"/>
        </w:rPr>
      </w:pPr>
    </w:p>
    <w:p>
      <w:pPr>
        <w:pStyle w:val="P29"/>
        <w:framePr w:w="3839" w:h="704" w:hRule="exact" w:wrap="none" w:vAnchor="page" w:hAnchor="margin" w:x="6856" w:y="8608"/>
        <w:rPr>
          <w:rStyle w:val="C21"/>
          <w:rtl w:val="0"/>
        </w:rPr>
      </w:pPr>
      <w:r>
        <w:rPr>
          <w:rStyle w:val="C21"/>
          <w:rtl w:val="0"/>
        </w:rPr>
        <w:t>Ústní ověření</w:t>
      </w:r>
    </w:p>
    <w:p>
      <w:pPr>
        <w:pStyle w:val="P16"/>
        <w:framePr w:w="6710" w:h="831" w:hRule="exact" w:wrap="none" w:vAnchor="page" w:hAnchor="margin" w:x="45" w:y="9384"/>
        <w:rPr>
          <w:rStyle w:val="C3"/>
          <w:rtl w:val="0"/>
        </w:rPr>
      </w:pPr>
    </w:p>
    <w:p>
      <w:pPr>
        <w:pStyle w:val="P17"/>
        <w:framePr w:w="6658" w:h="704" w:hRule="exact" w:wrap="none" w:vAnchor="page" w:hAnchor="margin" w:x="71" w:y="9440"/>
        <w:rPr>
          <w:rStyle w:val="C13"/>
          <w:rtl w:val="0"/>
        </w:rPr>
      </w:pPr>
      <w:r>
        <w:rPr>
          <w:rStyle w:val="C13"/>
          <w:rtl w:val="0"/>
        </w:rPr>
        <w:t>d) Vysvětlit postup ukládání dat a ostatních podkladů v souladu s platnou legislativou, včetně ukládání nezbytné dokumentace o případu s ohledem na legislativu v oblasti daní, účetnictví a živnostenských předpisů</w:t>
      </w:r>
    </w:p>
    <w:p>
      <w:pPr>
        <w:pStyle w:val="P30"/>
        <w:framePr w:w="3921" w:h="831" w:hRule="exact" w:wrap="none" w:vAnchor="page" w:hAnchor="margin" w:x="6800" w:y="9384"/>
        <w:rPr>
          <w:rStyle w:val="C3"/>
          <w:rtl w:val="0"/>
        </w:rPr>
      </w:pPr>
    </w:p>
    <w:p>
      <w:pPr>
        <w:pStyle w:val="P31"/>
        <w:framePr w:w="3839" w:h="704" w:hRule="exact" w:wrap="none" w:vAnchor="page" w:hAnchor="margin" w:x="6856" w:y="9440"/>
        <w:rPr>
          <w:rStyle w:val="C22"/>
          <w:rtl w:val="0"/>
        </w:rPr>
      </w:pPr>
      <w:r>
        <w:rPr>
          <w:rStyle w:val="C22"/>
          <w:rtl w:val="0"/>
        </w:rPr>
        <w:t>Ústní ověření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Zpracování a analyzování informací při zpravodajské práci</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607" w:hRule="exact" w:wrap="none" w:vAnchor="page" w:hAnchor="margin" w:x="45" w:y="11579"/>
        <w:rPr>
          <w:rStyle w:val="C3"/>
          <w:rtl w:val="0"/>
        </w:rPr>
      </w:pPr>
    </w:p>
    <w:p>
      <w:pPr>
        <w:pStyle w:val="P13"/>
        <w:framePr w:w="6658" w:h="480" w:hRule="exact" w:wrap="none" w:vAnchor="page" w:hAnchor="margin" w:x="71" w:y="11635"/>
        <w:rPr>
          <w:rStyle w:val="C11"/>
          <w:rtl w:val="0"/>
        </w:rPr>
      </w:pPr>
      <w:r>
        <w:rPr>
          <w:rStyle w:val="C11"/>
          <w:rtl w:val="0"/>
        </w:rPr>
        <w:t>a) Vysvětlit proces analýzy klíčové informace, určit příčiny a podmínky jejího vzniku a kontroly její úplnosti</w:t>
      </w:r>
    </w:p>
    <w:p>
      <w:pPr>
        <w:pStyle w:val="P28"/>
        <w:framePr w:w="3921" w:h="607" w:hRule="exact" w:wrap="none" w:vAnchor="page" w:hAnchor="margin" w:x="6800" w:y="11579"/>
        <w:rPr>
          <w:rStyle w:val="C3"/>
          <w:rtl w:val="0"/>
        </w:rPr>
      </w:pPr>
    </w:p>
    <w:p>
      <w:pPr>
        <w:pStyle w:val="P29"/>
        <w:framePr w:w="3839" w:h="480" w:hRule="exact" w:wrap="none" w:vAnchor="page" w:hAnchor="margin" w:x="6856" w:y="11635"/>
        <w:rPr>
          <w:rStyle w:val="C21"/>
          <w:rtl w:val="0"/>
        </w:rPr>
      </w:pPr>
      <w:r>
        <w:rPr>
          <w:rStyle w:val="C21"/>
          <w:rtl w:val="0"/>
        </w:rPr>
        <w:t>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b) Vysvětlit způsoby a možnosti předvídání jednání svého protějšku s důrazem na minimalizaci vzniku konfliktu a charakterizovat způsoby, jak je možné získat protějšek pro součinnost</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Ústní ověření</w:t>
      </w:r>
    </w:p>
    <w:p>
      <w:pPr>
        <w:pStyle w:val="P12"/>
        <w:framePr w:w="6710" w:h="376" w:hRule="exact" w:wrap="none" w:vAnchor="page" w:hAnchor="margin" w:x="45" w:y="13017"/>
        <w:rPr>
          <w:rStyle w:val="C3"/>
          <w:rtl w:val="0"/>
        </w:rPr>
      </w:pPr>
    </w:p>
    <w:p>
      <w:pPr>
        <w:pStyle w:val="P13"/>
        <w:framePr w:w="6658" w:h="249" w:hRule="exact" w:wrap="none" w:vAnchor="page" w:hAnchor="margin" w:x="71" w:y="13073"/>
        <w:rPr>
          <w:rStyle w:val="C11"/>
          <w:rtl w:val="0"/>
        </w:rPr>
      </w:pPr>
      <w:r>
        <w:rPr>
          <w:rStyle w:val="C11"/>
          <w:rtl w:val="0"/>
        </w:rPr>
        <w:t>c) Předvést využití veřejných informačních registrů a databází</w:t>
      </w:r>
    </w:p>
    <w:p>
      <w:pPr>
        <w:pStyle w:val="P28"/>
        <w:framePr w:w="3921" w:h="376" w:hRule="exact" w:wrap="none" w:vAnchor="page" w:hAnchor="margin" w:x="6800" w:y="13017"/>
        <w:rPr>
          <w:rStyle w:val="C3"/>
          <w:rtl w:val="0"/>
        </w:rPr>
      </w:pPr>
    </w:p>
    <w:p>
      <w:pPr>
        <w:pStyle w:val="P29"/>
        <w:framePr w:w="3839" w:h="249" w:hRule="exact" w:wrap="none" w:vAnchor="page" w:hAnchor="margin" w:x="6856" w:y="13073"/>
        <w:rPr>
          <w:rStyle w:val="C21"/>
          <w:rtl w:val="0"/>
        </w:rPr>
      </w:pPr>
      <w:r>
        <w:rPr>
          <w:rStyle w:val="C21"/>
          <w:rtl w:val="0"/>
        </w:rPr>
        <w:t>Praktické předvedení a ústní ověření</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d) Vysvětlit proces tvorby a prověřování detektivních verzí a zpravodajských hypotéz</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Detektiv zpravodajský pracovník, 17.4.2026 3:26:09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technicky schopna zajistit zveřejnění termínu a místa konání zkoušky a dalších nezbytných informací na internetových stránkách, a to v termínu odeslání pozvánky ke zkoušce.</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ověří doklady, které musí uchazeč předložit, aby zkouška proběhla v souladu s platnými právními předpisy. Zdravotní způsobilost v rozsahu odpovídající ověřované kvalifikaci není požadována. Před zahájením vlastního ověřování musí být uchazeč seznámen s pracovištěm, organizací zkoušky a s požadavky bezpečnosti a ochrany zdraví při práci (BOZP), požární ochrany (PO) a dalšími omezeními a stanoví, které pomůcky uchazeč při zkoušce nesmí, resp. smí používat.</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má formu písemné zkoušky a kombinace praktické a ústní zkoušky. Zkouška se skládá v českém jazyce. </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písemné, se prověřují formou testu.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u kterých je stanoven způsob prověření praktické předvedení, anebo ústní ověření se prověřují formou řešení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tyto kompetence: Orientace v právních normách s důrazem na bezpečnostně právní problematiku a ochranu osobních údajů; Uplatňování forem, metod a prostředků soukromé detektivní činnosti a jejich praktické naplňování; Ovládání prostředků a pomůcek pro zpravodajskou činnost v rámci soukromé detektivní činnosti. Každá kompetence je zastoupena v jedné nebo několika skupinách otázek. Při každé zkoušce musí být ověřeny všechny kompetence kvalifikačního standardu. Početní zastoupení jednotlivých skupin otázek v testu je stanoveno klíčem, který je součástí souboru otázek. Celkový počet otázek v testu musí být 30. Určený člen komise poučí uchazeče o způsobu práce s testem před zahájením časového limitu.</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odpovědět nejméně 80 %, to je 24 otázek testu správně. Úspěšné vykonání písemné zkoušky je podmínkou pro konání praktické a ústní části zkoušky.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a ústní část zkoušky je založena na řešení konkrétních typových bezpečnostních nebo preventivně bezpečnostních situací. Uchazeč musí vyřešit dvě náhodně vybrané typové situace, vždy jednu ze skupiny A a jednu ze skupiny B souboru typových situací. Skupina A ověřuje kompetence Orientace v právních normách s důrazem na bezpečnostně právní problematiku a ochranu osobních údajů; Uplatňování forem, metod a prostředků soukromé detektivní činnosti a jejich praktické naplňování. Skupina B ověřuje kompetence: Ovládání prostředků a pomůcek pro zpravodajskou činnost v rámci soukromé detektivní činnosti; Dokumentování a vyhodnocování informací, jejich evidence a příprava k předání klientovi (zpravodajská činnost); Zpracování a analyzování informací.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praktické a ústní části zkoušky musí být úspěšně vyřešeny obě typové situace. V každé typové situaci musí být splněny všechny úkoly (otázky) požadované k jejímu řešení. Při řešení typové situace se připouští dvě odchýlení. Za odchýlení se považuje použití nesprávného výrazu nebo záměna pořadí činností, které nemají vliv na celkově správné řešení situace (odpovědi).</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soubor testových otázek a aktuální soubor typových situací je spravován a v elektronické podobě uchováván autorizujícím orgánem (Ministerstvem vnitra). Autorizovaným osobám budou tyto soubory předány prostřednictvím elektronické komunikace po udělení autorizace a dále při každé aktualizaci souborů otázek a typových situací.</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mohou členové komise klást doplňující otázky.</w:t>
      </w:r>
    </w:p>
    <w:p>
      <w:pPr>
        <w:keepNext w:val="0"/>
        <w:keepLines w:val="0"/>
        <w:framePr w:w="10766" w:h="10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testu včetně odpovědí uchazeče je součástí záznamu o průběhu a výsledku zkoušky a autorizovaná osoba jej musí archivovat v souladu s § 8 vyhlášky č. 208/2007 Sb., o podrobnostech stanovených k provedení zákona o uznávání výsledků dalšího vzdělávání.</w:t>
      </w:r>
    </w:p>
    <w:p>
      <w:pPr>
        <w:pStyle w:val="P33"/>
        <w:framePr w:w="10766" w:h="1837" w:hRule="exact" w:wrap="none" w:vAnchor="page" w:hAnchor="margin" w:x="0" w:y="13146"/>
        <w:rPr>
          <w:rStyle w:val="C3"/>
          <w:rtl w:val="0"/>
        </w:rPr>
      </w:pPr>
    </w:p>
    <w:p>
      <w:pPr>
        <w:pStyle w:val="P35"/>
        <w:framePr w:w="10710" w:h="340" w:hRule="exact" w:wrap="none" w:vAnchor="page" w:hAnchor="margin" w:x="28" w:y="13146"/>
        <w:rPr>
          <w:rStyle w:val="C25"/>
          <w:rtl w:val="0"/>
        </w:rPr>
      </w:pPr>
      <w:r>
        <w:rPr>
          <w:rStyle w:val="C25"/>
          <w:rtl w:val="0"/>
        </w:rPr>
        <w:t>Výsledné hodnocení</w:t>
      </w:r>
    </w:p>
    <w:p>
      <w:pPr>
        <w:keepNext w:val="0"/>
        <w:keepLines w:val="0"/>
        <w:framePr w:w="10766" w:h="1497" w:hRule="exact" w:wrap="none" w:vAnchor="page" w:hAnchor="margin" w:x="0" w:y="13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Detektiv zpravodajský pracovník, 17.4.2026 3:26:09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Členem zkušební komise nemůže být osoba, která je zaměstnancem, statutárním orgánem nebo členem statutárního orgánu stejného subjektu jako žadatel o zkoušku ani podnikatel, který je zaměstnavatelem nebo, u kterého žadatel vykonává činnost ostraha majetku a osob.</w:t>
      </w:r>
    </w:p>
    <w:p>
      <w:pPr>
        <w:pStyle w:val="P33"/>
        <w:framePr w:w="10766" w:h="9283" w:hRule="exact" w:wrap="none" w:vAnchor="page" w:hAnchor="margin" w:x="0" w:y="4689"/>
        <w:rPr>
          <w:rStyle w:val="C3"/>
          <w:rtl w:val="0"/>
        </w:rPr>
      </w:pPr>
    </w:p>
    <w:p>
      <w:pPr>
        <w:pStyle w:val="P35"/>
        <w:framePr w:w="10710" w:h="547" w:hRule="exact" w:wrap="none" w:vAnchor="page" w:hAnchor="margin" w:x="28" w:y="4689"/>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minimální kvalifikační požadavky: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v magisterském studijním programu a 5 let praxe v oboru zaměstnání operativní pracovník, kriminalistický analytik, obrana a ochrana (viz obory zaměstnání MPSV) a v pozici soukromý detektiv, z toho minimálně dva roky v posledních pěti letech před podáním žádosti o autorizaci praxi v činnosti soukromého detektiva (viz. Nařízení vlády č. 278/2008 Sb., o obsahových náplních jednotlivých živností), nebo minimálně 5 let pedagogické praxe v oboru bezpečnostně právní činnost nebo bezpečnostní služby, z toho minimálně jeden rok v posledních třech letech před podáním žádosti o autorizaci (doložit vysokoškolským diplomem a dokumenty prokazujícími praxi),</w:t>
      </w:r>
    </w:p>
    <w:p>
      <w:pPr>
        <w:keepNext w:val="0"/>
        <w:keepLines w:val="1"/>
        <w:framePr w:w="10766" w:h="8735" w:hRule="exact" w:wrap="none" w:vAnchor="page" w:hAnchor="margin" w:x="0" w:y="523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uživatelská dovednost práce s počítačem a internetem (doložit čestným prohlášením).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schopna organizačně zajistit řádný průběh zkoušky a zajistit nezbytné materiální a technické předpoklady pro provedení zkoušky (doložit čestným prohlášením, viz dále). </w:t>
      </w:r>
    </w:p>
    <w:p>
      <w:pPr>
        <w:keepNext w:val="0"/>
        <w:keepLines w:val="1"/>
        <w:framePr w:w="10766" w:h="8735" w:hRule="exact" w:wrap="none" w:vAnchor="page" w:hAnchor="margin" w:x="0" w:y="523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si může vyžádat stanovisko k odborné způsobilosti žadatele o autorizaci vydané věcně příslušným profesním společenstvem ve smyslu § 50 a násl. zákona č. 500/2004 Sb., správní řád.</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Autorizující orgán může přizvat pracovníky profesních společenstev ke kontrole výkonu odborné způsobilosti autorizované osoby v průběhu platnosti autorizace a také správnosti postupu při provádění zkoušek a vydávání osvědčení (viz § 22 písm. e zákona č. 179/2006 Sb. v platném znění a § 2 a 9 zákona č. 552/1991 Sb. v platném znění) a přihlédne k jejich odbornému názoru.</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5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 www.mvcr.cz.</w:t>
      </w:r>
    </w:p>
    <w:p>
      <w:pPr>
        <w:pStyle w:val="P21"/>
        <w:framePr w:w="7654" w:h="331" w:hRule="exact" w:wrap="none" w:vAnchor="page" w:hAnchor="margin" w:x="28" w:y="15940"/>
        <w:rPr>
          <w:rStyle w:val="C16"/>
          <w:rtl w:val="0"/>
        </w:rPr>
      </w:pPr>
      <w:r>
        <w:rPr>
          <w:rStyle w:val="C16"/>
          <w:rtl w:val="0"/>
        </w:rPr>
        <w:t>Detektiv zpravodajský pracovník, 17.4.2026 3:26:09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čestné prohlášení dokládající soulad jeho materiálních a technických předpokladů pro účely zkoušky s požadavky uvedenými dále. Pokud žadatel o autorizaci bude při zkouškách využívat materiálně-technické vybavení jiného subjektu, přiloží k žádosti o udělení autorizace nebo prodloužení platnosti autorizace příslušnou smlouvu umožňující jeho využívání.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materiálně-technické zázemí v dále uvedeném rozsahu: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písemné části zkoušky a dále místnost či místo umožňující přípravu a řádné řešení zadaných typových situací,</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prostředky zvyšující účinnost obrany a ochrany soukromého detektiva, obvyklé prostředky pro spojení, svítilna, lékárnička a formalizované a jiné záznamní a evidenční pomůcky. Soubor prostředků a pomůcek musí umožnit praktické předvedení u kritérií, kde je to způsobem ověření stanoveno. Prostředky mohou být nahrazeny výcvikovými maketami,</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 případně umožňující absolvování písemného testu,</w:t>
      </w:r>
    </w:p>
    <w:p>
      <w:pPr>
        <w:keepNext w:val="0"/>
        <w:keepLines w:val="1"/>
        <w:framePr w:w="10766" w:h="45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žadatel o vykonání zkoušky navrhne při zkouškách využívat materiálně-technické zázemí jiné organizace např. cvičný nebo reálný objekt, přiloží k žádosti o zkoušku kopii dokumentu schvalujícího jeho využití, pokud ho sám nevlastní. Současně písemně oznámí zásady bezpečnosti a další nutná omezení při konání zkoušky na tomto zázemí.</w:t>
      </w:r>
    </w:p>
    <w:p>
      <w:pPr>
        <w:pStyle w:val="P33"/>
        <w:framePr w:w="10766" w:h="1612"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Písemnou část zkoušky absolvuje uchazeč bezprostředně po pokynu komise k zahájení činnosti.</w:t>
      </w:r>
    </w:p>
    <w:p>
      <w:pPr>
        <w:keepNext w:val="0"/>
        <w:keepLines w:val="0"/>
        <w:framePr w:w="10766" w:h="1271"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praktickou a ústní část zkoušky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část zkoušky trvá 30 až 60 minut. Praktická a ústní část zkoušky trvá 60 až 90 minut. Celková doba trvání zkoušky je 90 až 150 minut. Zkoušku absolvuje uchazeč v jednom dni.</w:t>
      </w:r>
    </w:p>
    <w:p>
      <w:pPr>
        <w:pStyle w:val="P21"/>
        <w:framePr w:w="7654" w:h="331" w:hRule="exact" w:wrap="none" w:vAnchor="page" w:hAnchor="margin" w:x="28" w:y="15940"/>
        <w:rPr>
          <w:rStyle w:val="C16"/>
          <w:rtl w:val="0"/>
        </w:rPr>
      </w:pPr>
      <w:r>
        <w:rPr>
          <w:rStyle w:val="C16"/>
          <w:rtl w:val="0"/>
        </w:rPr>
        <w:t>Detektiv zpravodajský pracovník, 17.4.2026 3:26:09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ochranu osob a majetku a bezpečnost práce,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CENSUS SECURITAS,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UNIVERZAL CZ,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aplikované informatiky,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ZVservice, s. r. o.</w:t>
      </w:r>
    </w:p>
    <w:p>
      <w:pPr>
        <w:pStyle w:val="P21"/>
        <w:framePr w:w="7654" w:h="331" w:hRule="exact" w:wrap="none" w:vAnchor="page" w:hAnchor="margin" w:x="28" w:y="15940"/>
        <w:rPr>
          <w:rStyle w:val="C16"/>
          <w:rtl w:val="0"/>
        </w:rPr>
      </w:pPr>
      <w:r>
        <w:rPr>
          <w:rStyle w:val="C16"/>
          <w:rtl w:val="0"/>
        </w:rPr>
        <w:t>Detektiv zpravodajský pracovník, 17.4.2026 3:26:09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F63A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AF99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6E20AB"/>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