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71B3052" Type="http://schemas.openxmlformats.org/officeDocument/2006/relationships/officeDocument" Target="/word/document.xml" /><Relationship Id="coreR171B3052" Type="http://schemas.openxmlformats.org/package/2006/relationships/metadata/core-properties" Target="/docProps/core.xml" /><Relationship Id="customR171B30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Bezpečnostní manažer/manažerka v obchodě a službách (kód: 68-005-T)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Bezpečnostní manažer v obchodě a službách</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bezpečnostní politice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Koncipování bezpečnostní politiky v obchodě a službách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Spolupráce s bezpečnostními složkami, orgány státní správy, samosprávy a dalšími subjekty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požární ochraně a bezpečnosti ochrany a zdraví při práci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technických bezpečnostních systémech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Řízení externích dodavatelů bezpečnostních služeb</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Provázání business plánu a bezpečnosti obchodní organizace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7</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Řešení krizových situací v obchodní organizaci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7</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Bezpečnostní manažer/manažerka v obchodě a službách, 22.10.2026 8:29:36</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31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technicky schopna zajistit zveřejnění termínu a místa konání zkoušky a dalších nezbytných informací na internetových stránkách, a to v termínu odeslání pozvánky ke zkoušce.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ověří doklady, které musí uchazeč předložit, aby zkouška proběhla v souladu s platnými právními předpisy. Zdravotní způsobilost v rozsahu odpovídající ověřované kvalifikaci není požadována.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organizací zkoušky a s požadavky bezpečnosti a ochrany zdraví při práci (BOZP), požární ochrany (PO) a dalšími omezeními. Autorizovaná osoba stanoví, které pomůcky uchazeč při zkoušce nesmí, resp. smí používat.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předsedy zkušební komise je dbát na to, aby zkouška probíhala podle tohoto hodnoticího standardu.</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c) a g) kompetence Koncipování bezpečnostní politiky v obchodě a službách a kritéria b), d) - f) a k) kompetence Řízení externích dodavatelů bezpečnostních služeb jsou ověřována prakticky formou případové studie. Uchazeč případovou studii vypracuje doma před konáním zkoušky odborné způsobilosti. Autorizovaná osoba 14 dní před termínem konání zkoušky zadá téma a rozsah případové studie. Uchazeč ji odevzdá 5 dní před termínem konání zkoušky. Předmětem ověření daných kompetencí je prezentace a obhajoba případové studie.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splněné následující dvě podmínky:</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Každé kritérium je zohledněno v několika otázkách.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mohou členové komise klást doplňující otázky.</w:t>
      </w:r>
    </w:p>
    <w:p>
      <w:pPr>
        <w:pStyle w:val="P21"/>
        <w:framePr w:w="7654" w:h="331" w:hRule="exact" w:wrap="none" w:vAnchor="page" w:hAnchor="margin" w:x="28" w:y="15940"/>
        <w:rPr>
          <w:rStyle w:val="C16"/>
          <w:rtl w:val="0"/>
        </w:rPr>
      </w:pPr>
      <w:r>
        <w:rPr>
          <w:rStyle w:val="C16"/>
          <w:rtl w:val="0"/>
        </w:rPr>
        <w:t>Bezpečnostní manažer/manažerka v obchodě a službách, 22.10.2026 8:29:36</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bezpečnost a ochranu osob a majetku a bezpečnost práce, ustavená a licencovaná pro tuto činnost HK ČR a SP ČR.</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b.i.g. FM service,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Cana consulting,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F.S.C. Bezpečnostní poradenství,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Jednota, spotř. Družstvo v Uherském Ostrohu</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 2 Corporation, a. s.</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Prague adventures, s. r. o.</w:t>
      </w:r>
    </w:p>
    <w:p>
      <w:pPr>
        <w:keepNext w:val="0"/>
        <w:keepLines w:val="0"/>
        <w:framePr w:w="10766" w:h="258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Tesco Stores ČR</w:t>
      </w:r>
    </w:p>
    <w:p>
      <w:pPr>
        <w:pStyle w:val="P21"/>
        <w:framePr w:w="7654" w:h="331" w:hRule="exact" w:wrap="none" w:vAnchor="page" w:hAnchor="margin" w:x="28" w:y="15940"/>
        <w:rPr>
          <w:rStyle w:val="C16"/>
          <w:rtl w:val="0"/>
        </w:rPr>
      </w:pPr>
      <w:r>
        <w:rPr>
          <w:rStyle w:val="C16"/>
          <w:rtl w:val="0"/>
        </w:rPr>
        <w:t>Bezpečnostní manažer/manažerka v obchodě a službách, 22.10.2026 8:29:36</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