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214DCB5" Type="http://schemas.openxmlformats.org/officeDocument/2006/relationships/officeDocument" Target="/word/document.xml" /><Relationship Id="coreR3214DCB5" Type="http://schemas.openxmlformats.org/package/2006/relationships/metadata/core-properties" Target="/docProps/core.xml" /><Relationship Id="customR3214DCB5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Samostatný projektant / samostatná projektantka elektroenergetických sítí (kód: 26-041-R)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Elektrotechnika, telekomunikační a výpočetní technika (kód: 26)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Samostatný projektant elektroenergetických sítí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6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Zajišťování údajů z katastru nemovitostí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607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elektrotechnické dokumentaci, orientace ve stavebních výkresech, dokumentaci a technických podkladech</w:t>
      </w:r>
    </w:p>
    <w:p>
      <w:pPr>
        <w:pStyle w:val="P18"/>
        <w:framePr w:w="805" w:h="607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Orientace v legislativních a technických normách z oblasti elektro</w:t>
      </w:r>
    </w:p>
    <w:p>
      <w:pPr>
        <w:pStyle w:val="P14"/>
        <w:framePr w:w="805" w:h="376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Orientace v technické dokumentaci a normách uplatňovaných v energetice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Orientace v dokumentaci a normách elektrotechnických a elektronických zapojení, rozvodů a zařízení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Dodržování předpisů BOZP a požární ochrany v elektroenergetických projektech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Dodržování zásad ochrany životního prostředí v elektroenergetických projektech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848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540"/>
        <w:rPr>
          <w:rStyle w:val="C13"/>
          <w:rtl w:val="0"/>
        </w:rPr>
      </w:pPr>
      <w:r>
        <w:rPr>
          <w:rStyle w:val="C13"/>
          <w:rtl w:val="0"/>
        </w:rPr>
        <w:t>Provádění technických výpočtů souvisejících s projekty elektroenergetických sítí</w:t>
      </w:r>
    </w:p>
    <w:p>
      <w:pPr>
        <w:pStyle w:val="P18"/>
        <w:framePr w:w="805" w:h="376" w:hRule="exact" w:wrap="none" w:vAnchor="page" w:hAnchor="margin" w:x="9916" w:y="848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540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886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916"/>
        <w:rPr>
          <w:rStyle w:val="C11"/>
          <w:rtl w:val="0"/>
        </w:rPr>
      </w:pPr>
      <w:r>
        <w:rPr>
          <w:rStyle w:val="C11"/>
          <w:rtl w:val="0"/>
        </w:rPr>
        <w:t>Vyhodnocení požadavků investorů staveb a dotčených orgánů státní správy a dalších subjektů</w:t>
      </w:r>
    </w:p>
    <w:p>
      <w:pPr>
        <w:pStyle w:val="P14"/>
        <w:framePr w:w="805" w:h="376" w:hRule="exact" w:wrap="none" w:vAnchor="page" w:hAnchor="margin" w:x="9916" w:y="886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916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923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292"/>
        <w:rPr>
          <w:rStyle w:val="C13"/>
          <w:rtl w:val="0"/>
        </w:rPr>
      </w:pPr>
      <w:r>
        <w:rPr>
          <w:rStyle w:val="C13"/>
          <w:rtl w:val="0"/>
        </w:rPr>
        <w:t>Stavební předprojektová příprava v elektroenergetice</w:t>
      </w:r>
    </w:p>
    <w:p>
      <w:pPr>
        <w:pStyle w:val="P18"/>
        <w:framePr w:w="805" w:h="376" w:hRule="exact" w:wrap="none" w:vAnchor="page" w:hAnchor="margin" w:x="9916" w:y="923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292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607" w:hRule="exact" w:wrap="none" w:vAnchor="page" w:hAnchor="margin" w:x="45" w:y="9612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9668"/>
        <w:rPr>
          <w:rStyle w:val="C11"/>
          <w:rtl w:val="0"/>
        </w:rPr>
      </w:pPr>
      <w:r>
        <w:rPr>
          <w:rStyle w:val="C11"/>
          <w:rtl w:val="0"/>
        </w:rPr>
        <w:t>Řešení majetkoprávních vztahů a vyřizování správních řízení a povolení podle investičních záměrů a technicko-ekonomických požadavků</w:t>
      </w:r>
    </w:p>
    <w:p>
      <w:pPr>
        <w:pStyle w:val="P14"/>
        <w:framePr w:w="805" w:h="607" w:hRule="exact" w:wrap="none" w:vAnchor="page" w:hAnchor="margin" w:x="9916" w:y="9612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9668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1021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275"/>
        <w:rPr>
          <w:rStyle w:val="C13"/>
          <w:rtl w:val="0"/>
        </w:rPr>
      </w:pPr>
      <w:r>
        <w:rPr>
          <w:rStyle w:val="C13"/>
          <w:rtl w:val="0"/>
        </w:rPr>
        <w:t>Projednávání náležitostí územního a stavebního řízení s jeho účastníky</w:t>
      </w:r>
    </w:p>
    <w:p>
      <w:pPr>
        <w:pStyle w:val="P18"/>
        <w:framePr w:w="805" w:h="376" w:hRule="exact" w:wrap="none" w:vAnchor="page" w:hAnchor="margin" w:x="9916" w:y="1021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275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10596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652"/>
        <w:rPr>
          <w:rStyle w:val="C11"/>
          <w:rtl w:val="0"/>
        </w:rPr>
      </w:pPr>
      <w:r>
        <w:rPr>
          <w:rStyle w:val="C11"/>
          <w:rtl w:val="0"/>
        </w:rPr>
        <w:t>Zajišťování podkladů pro územní a stavební řízení</w:t>
      </w:r>
    </w:p>
    <w:p>
      <w:pPr>
        <w:pStyle w:val="P14"/>
        <w:framePr w:w="805" w:h="376" w:hRule="exact" w:wrap="none" w:vAnchor="page" w:hAnchor="margin" w:x="9916" w:y="10596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652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10972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1028"/>
        <w:rPr>
          <w:rStyle w:val="C13"/>
          <w:rtl w:val="0"/>
        </w:rPr>
      </w:pPr>
      <w:r>
        <w:rPr>
          <w:rStyle w:val="C13"/>
          <w:rtl w:val="0"/>
        </w:rPr>
        <w:t>Vypracovávání rozpočtů staveb obvyklé složitosti</w:t>
      </w:r>
    </w:p>
    <w:p>
      <w:pPr>
        <w:pStyle w:val="P18"/>
        <w:framePr w:w="805" w:h="376" w:hRule="exact" w:wrap="none" w:vAnchor="page" w:hAnchor="margin" w:x="9916" w:y="10972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1028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1134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1404"/>
        <w:rPr>
          <w:rStyle w:val="C11"/>
          <w:rtl w:val="0"/>
        </w:rPr>
      </w:pPr>
      <w:r>
        <w:rPr>
          <w:rStyle w:val="C11"/>
          <w:rtl w:val="0"/>
        </w:rPr>
        <w:t>Autorský dozor na realizovaných stavbách, kontrola prováděcích projektů stavebních děl</w:t>
      </w:r>
    </w:p>
    <w:p>
      <w:pPr>
        <w:pStyle w:val="P14"/>
        <w:framePr w:w="805" w:h="376" w:hRule="exact" w:wrap="none" w:vAnchor="page" w:hAnchor="margin" w:x="9916" w:y="1134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1404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1172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1780"/>
        <w:rPr>
          <w:rStyle w:val="C13"/>
          <w:rtl w:val="0"/>
        </w:rPr>
      </w:pPr>
      <w:r>
        <w:rPr>
          <w:rStyle w:val="C13"/>
          <w:rtl w:val="0"/>
        </w:rPr>
        <w:t>Ovládání grafických programů pro projektování</w:t>
      </w:r>
    </w:p>
    <w:p>
      <w:pPr>
        <w:pStyle w:val="P18"/>
        <w:framePr w:w="805" w:h="376" w:hRule="exact" w:wrap="none" w:vAnchor="page" w:hAnchor="margin" w:x="9916" w:y="1172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1780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7"/>
        <w:framePr w:w="8788" w:h="340" w:hRule="exact" w:wrap="none" w:vAnchor="page" w:hAnchor="margin" w:x="28" w:y="1232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2667"/>
        <w:rPr>
          <w:rStyle w:val="C15"/>
          <w:rtl w:val="0"/>
        </w:rPr>
      </w:pPr>
      <w:r>
        <w:rPr>
          <w:rStyle w:val="C15"/>
          <w:rtl w:val="0"/>
        </w:rPr>
        <w:t>Standard je platný od: 21.10.2022 do: 05.01.2023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Samostatný projektant / samostatná projektantka elektroenergetických sítí, 9.9.2026 23:03:34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2396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171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1171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vlastní zkouškou předloží uchazeč doklad o elektrotechnické způsobilosti podle § 10 vyhlášky č. 50/1978 Sb.</w:t>
      </w:r>
    </w:p>
    <w:p>
      <w:pPr>
        <w:keepNext w:val="0"/>
        <w:keepLines w:val="0"/>
        <w:framePr w:w="10766" w:h="1171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není vyžadována.</w:t>
      </w:r>
    </w:p>
    <w:p>
      <w:pPr>
        <w:keepNext w:val="0"/>
        <w:keepLines w:val="0"/>
        <w:framePr w:w="10766" w:h="1171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kompetence Orientace v elektrotechnické dokumentaci, orientace ve stavebních výkresech, dokumentaci a technických podkladech je východiskem znalost ČSN 01 3420 (měřítka, značky jednotlivých druhů sítí, výkres výkopů, základů apod.).</w:t>
      </w:r>
    </w:p>
    <w:p>
      <w:pPr>
        <w:keepNext w:val="0"/>
        <w:keepLines w:val="0"/>
        <w:framePr w:w="10766" w:h="1171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kompetence Orientace v technické dokumentaci a normách uplatňovaných v energetice, dostane uchazeč k využití zák. č. 183/2006 Sb., o územním plánování a stavebním řádu, vyhl. č. 499/2006 Sb., Dokumentace staveb; vyhl. č. 503/2006 Sb. o podrobnější úpravě územního řízení, zák. č. 22/1997 Sb. o technických požadavcích na výrobky, zák. č. 458/2000 Sb. energetický zákon, vyhl. č. 499/2006 Sb. Dokumentaci staveb, přílohy č. 1, 2, 3; vyhl. 503/2006 S b., příloha č. 4; uvést vliv Technických podmínek pro zpracování PD liniových staveb distributorů.</w:t>
      </w:r>
    </w:p>
    <w:p>
      <w:pPr>
        <w:keepNext w:val="0"/>
        <w:keepLines w:val="0"/>
        <w:framePr w:w="10766" w:h="1171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Ověření kompetence Orientace v dokumentaci a normách elektrotechnických a elektronických zapojení, rozvodů a zařízení předpokládá obhajobu vlastní práce podle </w:t>
      </w:r>
    </w:p>
    <w:p>
      <w:pPr>
        <w:keepNext w:val="0"/>
        <w:keepLines w:val="0"/>
        <w:framePr w:w="10766" w:h="1171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ČSN 33 0010 - Elektrotechnické předpisy. Elektrická zařízení. Rozdělení a pojmy, </w:t>
      </w:r>
    </w:p>
    <w:p>
      <w:pPr>
        <w:keepNext w:val="0"/>
        <w:keepLines w:val="0"/>
        <w:framePr w:w="10766" w:h="1171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33 3220 Elektrotechnické předpisy. Společná ustanovení pro elektrické stanice, ČSN EN 50423. Elektrická venkovní vedení s napětím nad AC 1 kV do AC 45 kV včetně ČSN 33 3301, ČSN 33 3320 Elektrotechnické předpisy. Elektrické přípojky, ČSN EN61936. Elektrické instalace nad AC 1 kV, ČSN 33 3201, Ochrana před bleskem, ČSN 73 6005 Prostorové uspořádání sítí technického vybavení, ČSN 33 2000-4 Elektrotechnické předpisy - Elektrická zařízení - Část 4: Bezpečnost, ČSN 33 2000-5 Elektrotechnické předpisy. Elektrická zařízení. Část 5: Výběr a stavba elektrických zařízení, ČSN EN 50 110-1 Obsluha a práce na elektrických zařízeních., Průvodní zpráva, Souhrnná technická zpráva, Situace stavby, Dokladová část, Zásady organizace výstavby, ČSN 73 6005.</w:t>
      </w:r>
    </w:p>
    <w:p>
      <w:pPr>
        <w:keepNext w:val="0"/>
        <w:keepLines w:val="0"/>
        <w:framePr w:w="10766" w:h="1171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Ověření kompetence Řešení majetkoprávních vztahů a vyřizování správních řízení a povolení podle investičních záměrů a technicko-ekonomických požadavků předpokládá znalost a uplatnění legislativních majetkoprávních norem (zák. č. 183/2006 Sb. stavební zákon – smlouva o věcném břemenu, nájemní smlouva, smlouva o právu provést stavbu, § 24a25 zák. č. 458/2000 Sb. energetický zákon č. 458/2000 Sb. energetický zákon, povolení ke zvláštnímu užívání komunikace nebo povolení provedení stavby v silničním ochranném pásmu podle zák. č. 13/1997 Sb., o pozemních komunikacích, Odnětí lesních pozemků a omezení jejich využívání podle zák. č. 289/1995 Sb. O lesích, Umístění stavby v chráněném ložiskovém území podle zák. č. 44/1998 Sb. Horní zákon, Rozhodnutí – souhlas vodoprávního úřadu podle zák. č. 254/2001 O vodách).</w:t>
      </w:r>
    </w:p>
    <w:p>
      <w:pPr>
        <w:keepNext w:val="0"/>
        <w:keepLines w:val="0"/>
        <w:framePr w:w="10766" w:h="1171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kompetence Vypracování rozpočtů staveb, předpokládá prezentaci předložené vlastní projektové dokumentace v obvyklém členění (I. Projektové a průzkumné práce, II. Provozní soubory, III. Stavební objekty, IV. Stroje a zařízení, V. Umělecká díla, VI. Vedlejší náklady, VII. Práce nestavebních organizací, VIII. Rezerva, IX. Ostatní náklady, X. Vyvolané investice, XI. Provozní náklady na přípravu a realizaci stavby).</w:t>
      </w:r>
    </w:p>
    <w:p>
      <w:pPr>
        <w:keepNext w:val="0"/>
        <w:keepLines w:val="0"/>
        <w:framePr w:w="10766" w:h="1171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kompetence Autorský dozor na realizovaných stavbách, kontrola prováděcích projektů stavebních děl je ověřována znalost zák. č. 183/2006 Sb. stavební zákon, zák. č. 360/1992 Sb. o výkonu povolání autorizovaných architektů a o výkonu povolání autorizovaných inženýrů a techniků činných ve výstavbě.</w:t>
      </w:r>
    </w:p>
    <w:p>
      <w:pPr>
        <w:keepNext w:val="0"/>
        <w:keepLines w:val="0"/>
        <w:framePr w:w="10766" w:h="1171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Při ověřování kompetencí, kde je odvolání na příslušné zákony a vyhlášky, bude mít zkoušející k dispozici tyto dokumenty v elektronické nebo tištěné formě v platném znění. </w:t>
      </w:r>
    </w:p>
    <w:p>
      <w:pPr>
        <w:keepNext w:val="0"/>
        <w:keepLines w:val="0"/>
        <w:framePr w:w="10766" w:h="1171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 vlastní zkoušce uchazeč povinně předloží: </w:t>
      </w:r>
    </w:p>
    <w:p>
      <w:pPr>
        <w:keepNext w:val="0"/>
        <w:keepLines w:val="0"/>
        <w:framePr w:w="10766" w:h="1171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jednu jím vypracovanou projektovou dokumentaci v rozsahu pro vydání územního rozhodnutí (průvodní zpráva, souhrnná technická zpráva, situace stavby, dokladová část, zásady organizace výstavby na venkovní vedení NN nebo VN) a pro realizaci (situace, schéma zapojení, schéma jištění, jednopólové schéma, liniové schéma, výkres betonového základu podpěrného bodu, výkres příčného řezu kabelové rýhy):</w:t>
      </w:r>
    </w:p>
    <w:p>
      <w:pPr>
        <w:keepNext w:val="0"/>
        <w:keepLines w:val="0"/>
        <w:framePr w:w="10766" w:h="1171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venkovní vedení NN nebo VN</w:t>
      </w:r>
    </w:p>
    <w:p>
      <w:pPr>
        <w:keepNext w:val="0"/>
        <w:keepLines w:val="0"/>
        <w:framePr w:w="10766" w:h="1171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kabelové vedení NN nebo VN</w:t>
      </w:r>
    </w:p>
    <w:p>
      <w:pPr>
        <w:keepNext w:val="0"/>
        <w:keepLines w:val="0"/>
        <w:framePr w:w="10766" w:h="1171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zadání stavby od objednatele nebo zadavatele na výše uvedené projekty</w:t>
      </w:r>
    </w:p>
    <w:p>
      <w:pPr>
        <w:keepNext w:val="0"/>
        <w:keepLines w:val="0"/>
        <w:framePr w:w="10766" w:h="1171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Podmínkou úspěšné zkoušky je dodržení zásad a pravidel BOZP.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Samostatný projektant / samostatná projektantka elektroenergetických sítí, 9.9.2026 23:03:34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energetiku, ustavená a licencovaná pro tuto činnost HK ČR a SP ČR.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RGV, a. s.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ČSZE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E.ON ČR, s. r. o.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Kučaba Energomontáže Hodonín, s. r. o.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Samostatný projektant / samostatná projektantka elektroenergetických sítí, 9.9.2026 23:03:34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