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2C2ED6" Type="http://schemas.openxmlformats.org/officeDocument/2006/relationships/officeDocument" Target="/word/document.xml" /><Relationship Id="coreR362C2ED6" Type="http://schemas.openxmlformats.org/package/2006/relationships/metadata/core-properties" Target="/docProps/core.xml" /><Relationship Id="customR362C2E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pro prošetřování událostí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právních norem s důrazem na bezpečnostně právní problematiku a ochranu osobních údajů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formách, metodách a prostředcích soukromé detektivní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Dokumentování a vyhodnocování informací, jejich evidence a příprava k předání klientovi (prošetřování událostí)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analyzování informací při prošetřování událostí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18.02.2015 do: 07.09.2021</w:t>
      </w:r>
    </w:p>
    <w:p>
      <w:pPr>
        <w:pStyle w:val="P21"/>
        <w:framePr w:w="7654" w:h="331" w:hRule="exact" w:wrap="none" w:vAnchor="page" w:hAnchor="margin" w:x="28" w:y="15940"/>
        <w:rPr>
          <w:rStyle w:val="C16"/>
          <w:rtl w:val="0"/>
        </w:rPr>
      </w:pPr>
      <w:r>
        <w:rPr>
          <w:rStyle w:val="C16"/>
          <w:rtl w:val="0"/>
        </w:rPr>
        <w:t>Detektiv pro prošetřování událostí, 18.10.2026 18:31:21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i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i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i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i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i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Písemně i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i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i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i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i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i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18.10.2026 18:31:21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i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i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postupu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Vysvětlit analýzu klíčové informace a určit prioritu informací o důkazech, příčiny, podmínky a následky a neschopnost takové informace být důkazem</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417"/>
        <w:rPr>
          <w:rStyle w:val="C3"/>
          <w:rtl w:val="0"/>
        </w:rPr>
      </w:pPr>
    </w:p>
    <w:p>
      <w:pPr>
        <w:pStyle w:val="P17"/>
        <w:framePr w:w="6658" w:h="480" w:hRule="exact" w:wrap="none" w:vAnchor="page" w:hAnchor="margin" w:x="71" w:y="12473"/>
        <w:rPr>
          <w:rStyle w:val="C13"/>
          <w:rtl w:val="0"/>
        </w:rPr>
      </w:pPr>
      <w:r>
        <w:rPr>
          <w:rStyle w:val="C13"/>
          <w:rtl w:val="0"/>
        </w:rPr>
        <w:t>b) Vysvětlit způsoby a možnosti předvídání jednání svého protějšku s ohledem na cílené dotazy a odpovědi a minimalizace vzniku konfliktu</w:t>
      </w:r>
    </w:p>
    <w:p>
      <w:pPr>
        <w:pStyle w:val="P30"/>
        <w:framePr w:w="3921" w:h="607" w:hRule="exact" w:wrap="none" w:vAnchor="page" w:hAnchor="margin" w:x="6800" w:y="12417"/>
        <w:rPr>
          <w:rStyle w:val="C3"/>
          <w:rtl w:val="0"/>
        </w:rPr>
      </w:pPr>
    </w:p>
    <w:p>
      <w:pPr>
        <w:pStyle w:val="P31"/>
        <w:framePr w:w="3839" w:h="480" w:hRule="exact" w:wrap="none" w:vAnchor="page" w:hAnchor="margin" w:x="6856" w:y="12473"/>
        <w:rPr>
          <w:rStyle w:val="C22"/>
          <w:rtl w:val="0"/>
        </w:rPr>
      </w:pPr>
      <w:r>
        <w:rPr>
          <w:rStyle w:val="C22"/>
          <w:rtl w:val="0"/>
        </w:rPr>
        <w:t>Ústní ověření</w:t>
      </w:r>
    </w:p>
    <w:p>
      <w:pPr>
        <w:pStyle w:val="P12"/>
        <w:framePr w:w="6710" w:h="607" w:hRule="exact" w:wrap="none" w:vAnchor="page" w:hAnchor="margin" w:x="45" w:y="13023"/>
        <w:rPr>
          <w:rStyle w:val="C3"/>
          <w:rtl w:val="0"/>
        </w:rPr>
      </w:pPr>
    </w:p>
    <w:p>
      <w:pPr>
        <w:pStyle w:val="P13"/>
        <w:framePr w:w="6658" w:h="480" w:hRule="exact" w:wrap="none" w:vAnchor="page" w:hAnchor="margin" w:x="71" w:y="13079"/>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023"/>
        <w:rPr>
          <w:rStyle w:val="C3"/>
          <w:rtl w:val="0"/>
        </w:rPr>
      </w:pPr>
    </w:p>
    <w:p>
      <w:pPr>
        <w:pStyle w:val="P29"/>
        <w:framePr w:w="3839" w:h="480" w:hRule="exact" w:wrap="none" w:vAnchor="page" w:hAnchor="margin" w:x="6856" w:y="13079"/>
        <w:rPr>
          <w:rStyle w:val="C21"/>
          <w:rtl w:val="0"/>
        </w:rPr>
      </w:pPr>
      <w:r>
        <w:rPr>
          <w:rStyle w:val="C21"/>
          <w:rtl w:val="0"/>
        </w:rPr>
        <w:t>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d) Vysvětlit proces tvorby a prověřování detektivních verzí</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Ústní ověření</w:t>
      </w:r>
    </w:p>
    <w:p>
      <w:pPr>
        <w:pStyle w:val="P32"/>
        <w:framePr w:w="10710" w:h="248" w:hRule="exact" w:wrap="none" w:vAnchor="page" w:hAnchor="margin" w:x="28" w:y="141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pro prošetřování událostí, 18.10.2026 18:31:21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vyžadována. Před zahájením vlastního ověřování musí být uchazeč seznámen s pracovištěm, organizací zkoušky a s požadavky bezpečnosti a ochrany zdraví při práci (BOZP), požární ochrany (PO) a dalšími omezeními a stanoví, které pomůcky uchazeč při zkoušce nesmí, resp. smí používat.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má formu písemné zkoušky a kombinace praktické a ústní zkoušky. Zkouška se skládá v českém jazyce.</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nebo ústní ověření, se prověřují formou řešení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prošetřování událostí v rámci soukromé detektivní činnosti. Každá kompetence je zastoupena v jedné nebo několika skupinách otázek. Při každé zkoušce musí být ověřeny všechny kompetence kvalifikačního standardu. Početní zastoupení jednotlivých skupin otázek v testu je stanoveno klíčem, který je součástí souboru otázek. Celkový počet otázek v testu musí být 30. Určený člen komise poučí uchazeče o způsobu práce s testem před zahájením časového limitu.</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 Úspěšné vykonání písemné zkoušky je podmínkou pro konání praktické a ústní části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Aplikování právních norem s důrazem na bezpečnostně právní problematiku a ochranu osobních údajů. Skupina B ověřuje kompetence: Ovládání prostředků a pomůcek pro prošetřování událostí v rámci soukromé detektivní činnosti; Dokumentování a vyhodnocování informací, jejich evidence a příprava k předání klientovi (prošetřování událostí); Zpracování a analyzování informací při prošetřování událostí.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soubor testových otázek a aktuální soubor typových situací je spravován a v elektronické podobě uchováván autorizujícím orgánem (Ministerstvem vnitra). Autorizovaným osobám budou tyto soubory předány prostřednictvím elektronické komunikace po udělení autorizace a dále při každé aktualizaci souborů otázek a typových situací.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pro prošetřování událostí, 18.10.2026 18:31:21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689"/>
        <w:rPr>
          <w:rStyle w:val="C3"/>
          <w:rtl w:val="0"/>
        </w:rPr>
      </w:pPr>
    </w:p>
    <w:p>
      <w:pPr>
        <w:pStyle w:val="P35"/>
        <w:framePr w:w="10710" w:h="547" w:hRule="exact" w:wrap="none" w:vAnchor="page" w:hAnchor="margin" w:x="28" w:y="4689"/>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23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23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udělení autorizace prokazuje splnění požadavků na odbornou způsobilost předložením dokladu nebo souboru dokladů o získání odborné způsobilosti autorizujícímu orgánu nebo jiným postupem stanoveným autorizujícím orgánem.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pro prošetřování událostí, 18.10.2026 18:31:21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036"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Doba pro vykonání zkoušky</w:t>
      </w:r>
    </w:p>
    <w:p>
      <w:pPr>
        <w:keepNext w:val="0"/>
        <w:keepLines w:val="0"/>
        <w:framePr w:w="10766" w:h="806" w:hRule="exact" w:wrap="none" w:vAnchor="page" w:hAnchor="margin" w:x="0" w:y="94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pro prošetřování událostí, 18.10.2026 18:31:21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Detektiv pro prošetřování událostí, 18.10.2026 18:31:21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5E7D5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16C8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3B626B"/>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