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D9A417" Type="http://schemas.openxmlformats.org/officeDocument/2006/relationships/officeDocument" Target="/word/document.xml" /><Relationship Id="coreR14D9A417" Type="http://schemas.openxmlformats.org/package/2006/relationships/metadata/core-properties" Target="/docProps/core.xml" /><Relationship Id="customR14D9A4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referent / odborná referentka pro bezpečnost přepravy (kód: 37-064-M)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vhodných druhů dopravy a jejich vzájemné optimalizace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pravidlech a mezinárodních úmluvách o přepravě nebezpečného zboží, při přepravě nadrozměrných zásilek a přeprav za zvláštních podmínek v jednotlivých dopravních módech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Klasifikace a značení nebezpečného zboží, nadrozměrných zásilek a přeprav za zvláštních podmínek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bezpečnostních programech v dopravních a logistických řetězcích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Sjednávání přepravy nebezpečného zboží a nadrozměrných zásilek a přeprav za zvláštních podmínek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Odborný referent / odborná referentka pro bezpečnost přepravy, 20.10.2026 8:49:05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národních a mezinárodních organizacích pro zasílatelství a obchod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dopravních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dopravy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Výběr vhodných druhů dopravy a jejich vzájemné optimalizace</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Definovat skupinu parametrů pro výběr vhodného druhu dopravy</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Popsat způsoby a postupy sledování zboží a dokladů</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Vyjmenovat a popsat přepravní podmínky pro přepravu za zvláštních podmínek, včetně souvisejících služeb poskytovaných zasílatelem</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Písemné a 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d) Posoudit a vyhodnotit efektivnost dopravně-přepravních procesů podle zadání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547" w:hRule="exact" w:wrap="none" w:vAnchor="page" w:hAnchor="margin" w:x="28" w:y="9604"/>
        <w:rPr>
          <w:rStyle w:val="C18"/>
          <w:rtl w:val="0"/>
        </w:rPr>
      </w:pPr>
      <w:r>
        <w:rPr>
          <w:rStyle w:val="C18"/>
          <w:rtl w:val="0"/>
        </w:rPr>
        <w:t>Orientace v pravidlech a mezinárodních úmluvách o přepravě nebezpečného zboží, při přepravě nadrozměrných zásilek a přeprav za zvláštních podmínek v jednotlivých dopravních módech</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831" w:hRule="exact" w:wrap="none" w:vAnchor="page" w:hAnchor="margin" w:x="45" w:y="10627"/>
        <w:rPr>
          <w:rStyle w:val="C3"/>
          <w:rtl w:val="0"/>
        </w:rPr>
      </w:pPr>
    </w:p>
    <w:p>
      <w:pPr>
        <w:pStyle w:val="P13"/>
        <w:framePr w:w="6658" w:h="704" w:hRule="exact" w:wrap="none" w:vAnchor="page" w:hAnchor="margin" w:x="71" w:y="10683"/>
        <w:rPr>
          <w:rStyle w:val="C11"/>
          <w:rtl w:val="0"/>
        </w:rPr>
      </w:pPr>
      <w:r>
        <w:rPr>
          <w:rStyle w:val="C11"/>
          <w:rtl w:val="0"/>
        </w:rPr>
        <w:t>a) Popsat odpovědnost přepravce, zasílatele, dopravce, třetí strany (např. skladovatele), při přepravě nebezpečného zboží, při přepravě nadrozměrných nákladů a přeprav za zvláštních podmínek</w:t>
      </w:r>
    </w:p>
    <w:p>
      <w:pPr>
        <w:pStyle w:val="P28"/>
        <w:framePr w:w="3921" w:h="831" w:hRule="exact" w:wrap="none" w:vAnchor="page" w:hAnchor="margin" w:x="6800" w:y="10627"/>
        <w:rPr>
          <w:rStyle w:val="C3"/>
          <w:rtl w:val="0"/>
        </w:rPr>
      </w:pPr>
    </w:p>
    <w:p>
      <w:pPr>
        <w:pStyle w:val="P29"/>
        <w:framePr w:w="3839" w:h="704" w:hRule="exact" w:wrap="none" w:vAnchor="page" w:hAnchor="margin" w:x="6856" w:y="10683"/>
        <w:rPr>
          <w:rStyle w:val="C21"/>
          <w:rtl w:val="0"/>
        </w:rPr>
      </w:pPr>
      <w:r>
        <w:rPr>
          <w:rStyle w:val="C21"/>
          <w:rtl w:val="0"/>
        </w:rPr>
        <w:t>Ústní ověření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b) Prokázat orientaci v doporučeních EU pro dopravu nebezpečného zboží, při přepravě nadrozměrných nákladů a přeprav za zvláštních podmínek</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Prokázat znalost stávajících předpisů a smluv (IATA-DGR, ICAO-TI, IMDG kód, ADR, RID, EN 12798)</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Písemné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d) Prokázat znalost národní a mezinárodní legislativy v oblasti přepravy nebezpečného zboží, při přepravě nadrozměrných zásilek a přeprav za zvláštních podmínek</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Písemné a ústní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e) Popsat postup při mimořádné události při přepravě nebezpečného zboží (nehoda, havárie, únik nebezpečné látky apod.)</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Písemné a ústní ověření</w:t>
      </w:r>
    </w:p>
    <w:p>
      <w:pPr>
        <w:pStyle w:val="P16"/>
        <w:framePr w:w="6710" w:h="376" w:hRule="exact" w:wrap="none" w:vAnchor="page" w:hAnchor="margin" w:x="45" w:y="14109"/>
        <w:rPr>
          <w:rStyle w:val="C3"/>
          <w:rtl w:val="0"/>
        </w:rPr>
      </w:pPr>
    </w:p>
    <w:p>
      <w:pPr>
        <w:pStyle w:val="P17"/>
        <w:framePr w:w="6658" w:h="249" w:hRule="exact" w:wrap="none" w:vAnchor="page" w:hAnchor="margin" w:x="71" w:y="14165"/>
        <w:rPr>
          <w:rStyle w:val="C13"/>
          <w:rtl w:val="0"/>
        </w:rPr>
      </w:pPr>
      <w:r>
        <w:rPr>
          <w:rStyle w:val="C13"/>
          <w:rtl w:val="0"/>
        </w:rPr>
        <w:t>f) Prokázat znalost pravidel při manipulaci s nebezpečným zbožím</w:t>
      </w:r>
    </w:p>
    <w:p>
      <w:pPr>
        <w:pStyle w:val="P30"/>
        <w:framePr w:w="3921" w:h="376" w:hRule="exact" w:wrap="none" w:vAnchor="page" w:hAnchor="margin" w:x="6800" w:y="14109"/>
        <w:rPr>
          <w:rStyle w:val="C3"/>
          <w:rtl w:val="0"/>
        </w:rPr>
      </w:pPr>
    </w:p>
    <w:p>
      <w:pPr>
        <w:pStyle w:val="P31"/>
        <w:framePr w:w="3839" w:h="249" w:hRule="exact" w:wrap="none" w:vAnchor="page" w:hAnchor="margin" w:x="6856" w:y="14165"/>
        <w:rPr>
          <w:rStyle w:val="C22"/>
          <w:rtl w:val="0"/>
        </w:rPr>
      </w:pPr>
      <w:r>
        <w:rPr>
          <w:rStyle w:val="C22"/>
          <w:rtl w:val="0"/>
        </w:rPr>
        <w:t>Ústní ověření</w:t>
      </w:r>
    </w:p>
    <w:p>
      <w:pPr>
        <w:pStyle w:val="P32"/>
        <w:framePr w:w="10710" w:h="248" w:hRule="exact" w:wrap="none" w:vAnchor="page" w:hAnchor="margin" w:x="28" w:y="14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 odborná referentka pro bezpečnost přepravy, 20.10.2026 8:49:05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Klasifikace a značení nebezpečného zboží, nadrozměrných zásilek a přeprav za zvláštních podmínek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a vysvětlit označování nákladu i vozidel realizujících přepravu nebezpečné zboží, přepravu nadrozměrných zásilek a přepravu za zvláštních podmínek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druhy balení a balicí skupiny a jejich označování pro nebezpečné zboží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Charakterizovat zásady manipulace s nebezpečným zbožím, popsat rozdíl mezi nehodou a událostí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Zpracovat dokumentaci dopravce pro přepravu nebezpečného zboží, včetně multimodálního formuláře pro nebezpečné zboží</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Zpracovat dokumentaci dopravce pro přepravu nadrozměrných zásilek</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Zpracovat dokumentaci dopravce pro přepravu za zvláštních podmínek</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Popsat pravidla a podmínky při skladování nebezpečného zboží</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Ústní ověření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Vyjmenovat technické požadavky na dopravní prostředky a jejich vybavení pro přepravu nebezpečných věcí</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Ústní ověření</w:t>
      </w:r>
    </w:p>
    <w:p>
      <w:pPr>
        <w:pStyle w:val="P32"/>
        <w:framePr w:w="10710" w:h="248" w:hRule="exact" w:wrap="none" w:vAnchor="page" w:hAnchor="margin" w:x="28" w:y="7678"/>
        <w:rPr>
          <w:rStyle w:val="C23"/>
          <w:rtl w:val="0"/>
        </w:rPr>
      </w:pPr>
      <w:r>
        <w:rPr>
          <w:rStyle w:val="C23"/>
          <w:rtl w:val="0"/>
        </w:rPr>
        <w:t>Je třeba splnit všechna kritéria.</w:t>
      </w:r>
    </w:p>
    <w:p>
      <w:pPr>
        <w:pStyle w:val="P23"/>
        <w:framePr w:w="10710" w:h="340" w:hRule="exact" w:wrap="none" w:vAnchor="page" w:hAnchor="margin" w:x="28" w:y="8113"/>
        <w:rPr>
          <w:rStyle w:val="C18"/>
          <w:rtl w:val="0"/>
        </w:rPr>
      </w:pPr>
      <w:r>
        <w:rPr>
          <w:rStyle w:val="C18"/>
          <w:rtl w:val="0"/>
        </w:rPr>
        <w:t>Orientace v bezpečnostních programech v dopravních a logistických řetězcích</w:t>
      </w:r>
    </w:p>
    <w:p>
      <w:pPr>
        <w:pStyle w:val="P24"/>
        <w:framePr w:w="6713" w:h="376" w:hRule="exact" w:wrap="none" w:vAnchor="page" w:hAnchor="margin" w:x="45" w:y="8552"/>
        <w:rPr>
          <w:rStyle w:val="C3"/>
          <w:rtl w:val="0"/>
        </w:rPr>
      </w:pPr>
    </w:p>
    <w:p>
      <w:pPr>
        <w:pStyle w:val="P25"/>
        <w:framePr w:w="6661" w:h="249" w:hRule="exact" w:wrap="none" w:vAnchor="page" w:hAnchor="margin" w:x="71" w:y="8623"/>
        <w:rPr>
          <w:rStyle w:val="C19"/>
          <w:rtl w:val="0"/>
        </w:rPr>
      </w:pPr>
      <w:r>
        <w:rPr>
          <w:rStyle w:val="C19"/>
          <w:rtl w:val="0"/>
        </w:rPr>
        <w:t>Kritéria hodnocení</w:t>
      </w:r>
    </w:p>
    <w:p>
      <w:pPr>
        <w:pStyle w:val="P26"/>
        <w:framePr w:w="3918" w:h="376" w:hRule="exact" w:wrap="none" w:vAnchor="page" w:hAnchor="margin" w:x="6803" w:y="8552"/>
        <w:rPr>
          <w:rStyle w:val="C3"/>
          <w:rtl w:val="0"/>
        </w:rPr>
      </w:pPr>
    </w:p>
    <w:p>
      <w:pPr>
        <w:pStyle w:val="P27"/>
        <w:framePr w:w="3836" w:h="249" w:hRule="exact" w:wrap="none" w:vAnchor="page" w:hAnchor="margin" w:x="6859" w:y="8623"/>
        <w:rPr>
          <w:rStyle w:val="C20"/>
          <w:rtl w:val="0"/>
        </w:rPr>
      </w:pPr>
      <w:r>
        <w:rPr>
          <w:rStyle w:val="C20"/>
          <w:rtl w:val="0"/>
        </w:rPr>
        <w:t>Způsoby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a) Popsat multimodální kontrolní a oznamovací systém pro námořní, leteckou, silniční a železniční dopravu</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b) Popsat programy implementované USA po 11. září</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Ústní ověření</w:t>
      </w:r>
    </w:p>
    <w:p>
      <w:pPr>
        <w:pStyle w:val="P12"/>
        <w:framePr w:w="6710" w:h="1280" w:hRule="exact" w:wrap="none" w:vAnchor="page" w:hAnchor="margin" w:x="45" w:y="9912"/>
        <w:rPr>
          <w:rStyle w:val="C3"/>
          <w:rtl w:val="0"/>
        </w:rPr>
      </w:pPr>
    </w:p>
    <w:p>
      <w:pPr>
        <w:pStyle w:val="P13"/>
        <w:framePr w:w="6658" w:h="1153" w:hRule="exact" w:wrap="none" w:vAnchor="page" w:hAnchor="margin" w:x="71" w:y="9968"/>
        <w:rPr>
          <w:rStyle w:val="C11"/>
          <w:rtl w:val="0"/>
        </w:rPr>
      </w:pPr>
      <w:r>
        <w:rPr>
          <w:rStyle w:val="C11"/>
          <w:rtl w:val="0"/>
        </w:rPr>
        <w:t>c) Prokázat znalost Authorised Economic Operator (AEO) jednoho z hlavních bezpečnostních dodatků Celního kódu EU, Safety and Qualioty Assesment Systém (SQAS) systému vyhodnocování kvality, bezpečnosti, zabezpečení a vlivu na životní prostředí poskytovateli logistických služeb a distributorů chemických látek</w:t>
      </w:r>
    </w:p>
    <w:p>
      <w:pPr>
        <w:pStyle w:val="P28"/>
        <w:framePr w:w="3921" w:h="1280" w:hRule="exact" w:wrap="none" w:vAnchor="page" w:hAnchor="margin" w:x="6800" w:y="9912"/>
        <w:rPr>
          <w:rStyle w:val="C3"/>
          <w:rtl w:val="0"/>
        </w:rPr>
      </w:pPr>
    </w:p>
    <w:p>
      <w:pPr>
        <w:pStyle w:val="P29"/>
        <w:framePr w:w="3839" w:h="1153" w:hRule="exact" w:wrap="none" w:vAnchor="page" w:hAnchor="margin" w:x="6856" w:y="9968"/>
        <w:rPr>
          <w:rStyle w:val="C21"/>
          <w:rtl w:val="0"/>
        </w:rPr>
      </w:pPr>
      <w:r>
        <w:rPr>
          <w:rStyle w:val="C21"/>
          <w:rtl w:val="0"/>
        </w:rPr>
        <w:t>Písemné a ústní ověření</w:t>
      </w:r>
    </w:p>
    <w:p>
      <w:pPr>
        <w:pStyle w:val="P32"/>
        <w:framePr w:w="10710" w:h="248" w:hRule="exact" w:wrap="none" w:vAnchor="page" w:hAnchor="margin" w:x="28" w:y="11305"/>
        <w:rPr>
          <w:rStyle w:val="C23"/>
          <w:rtl w:val="0"/>
        </w:rPr>
      </w:pPr>
      <w:r>
        <w:rPr>
          <w:rStyle w:val="C23"/>
          <w:rtl w:val="0"/>
        </w:rPr>
        <w:t>Je třeba splnit všechna kritéria.</w:t>
      </w:r>
    </w:p>
    <w:p>
      <w:pPr>
        <w:pStyle w:val="P23"/>
        <w:framePr w:w="10710" w:h="547" w:hRule="exact" w:wrap="none" w:vAnchor="page" w:hAnchor="margin" w:x="28" w:y="11740"/>
        <w:rPr>
          <w:rStyle w:val="C18"/>
          <w:rtl w:val="0"/>
        </w:rPr>
      </w:pPr>
      <w:r>
        <w:rPr>
          <w:rStyle w:val="C18"/>
          <w:rtl w:val="0"/>
        </w:rPr>
        <w:t>Sjednávání přepravy nebezpečného zboží a nadrozměrných zásilek a přeprav za zvláštních podmínek</w:t>
      </w:r>
    </w:p>
    <w:p>
      <w:pPr>
        <w:pStyle w:val="P24"/>
        <w:framePr w:w="6713" w:h="376" w:hRule="exact" w:wrap="none" w:vAnchor="page" w:hAnchor="margin" w:x="45" w:y="12387"/>
        <w:rPr>
          <w:rStyle w:val="C3"/>
          <w:rtl w:val="0"/>
        </w:rPr>
      </w:pPr>
    </w:p>
    <w:p>
      <w:pPr>
        <w:pStyle w:val="P25"/>
        <w:framePr w:w="6661" w:h="249" w:hRule="exact" w:wrap="none" w:vAnchor="page" w:hAnchor="margin" w:x="71" w:y="12458"/>
        <w:rPr>
          <w:rStyle w:val="C19"/>
          <w:rtl w:val="0"/>
        </w:rPr>
      </w:pPr>
      <w:r>
        <w:rPr>
          <w:rStyle w:val="C19"/>
          <w:rtl w:val="0"/>
        </w:rPr>
        <w:t>Kritéria hodnocení</w:t>
      </w:r>
    </w:p>
    <w:p>
      <w:pPr>
        <w:pStyle w:val="P26"/>
        <w:framePr w:w="3918" w:h="376" w:hRule="exact" w:wrap="none" w:vAnchor="page" w:hAnchor="margin" w:x="6803" w:y="12387"/>
        <w:rPr>
          <w:rStyle w:val="C3"/>
          <w:rtl w:val="0"/>
        </w:rPr>
      </w:pPr>
    </w:p>
    <w:p>
      <w:pPr>
        <w:pStyle w:val="P27"/>
        <w:framePr w:w="3836" w:h="249" w:hRule="exact" w:wrap="none" w:vAnchor="page" w:hAnchor="margin" w:x="6859" w:y="12458"/>
        <w:rPr>
          <w:rStyle w:val="C20"/>
          <w:rtl w:val="0"/>
        </w:rPr>
      </w:pPr>
      <w:r>
        <w:rPr>
          <w:rStyle w:val="C20"/>
          <w:rtl w:val="0"/>
        </w:rPr>
        <w:t>Způsoby ověření</w:t>
      </w:r>
    </w:p>
    <w:p>
      <w:pPr>
        <w:pStyle w:val="P12"/>
        <w:framePr w:w="6710" w:h="607" w:hRule="exact" w:wrap="none" w:vAnchor="page" w:hAnchor="margin" w:x="45" w:y="12763"/>
        <w:rPr>
          <w:rStyle w:val="C3"/>
          <w:rtl w:val="0"/>
        </w:rPr>
      </w:pPr>
    </w:p>
    <w:p>
      <w:pPr>
        <w:pStyle w:val="P13"/>
        <w:framePr w:w="6658" w:h="480" w:hRule="exact" w:wrap="none" w:vAnchor="page" w:hAnchor="margin" w:x="71" w:y="12819"/>
        <w:rPr>
          <w:rStyle w:val="C11"/>
          <w:rtl w:val="0"/>
        </w:rPr>
      </w:pPr>
      <w:r>
        <w:rPr>
          <w:rStyle w:val="C11"/>
          <w:rtl w:val="0"/>
        </w:rPr>
        <w:t>a) Vysvětlit způsob objednávání přepravy nebezpečného zboží a nadrozměrných zásilek a přeprav za zvláštních podmínek</w:t>
      </w:r>
    </w:p>
    <w:p>
      <w:pPr>
        <w:pStyle w:val="P28"/>
        <w:framePr w:w="3921" w:h="607" w:hRule="exact" w:wrap="none" w:vAnchor="page" w:hAnchor="margin" w:x="6800" w:y="12763"/>
        <w:rPr>
          <w:rStyle w:val="C3"/>
          <w:rtl w:val="0"/>
        </w:rPr>
      </w:pPr>
    </w:p>
    <w:p>
      <w:pPr>
        <w:pStyle w:val="P29"/>
        <w:framePr w:w="3839" w:h="480" w:hRule="exact" w:wrap="none" w:vAnchor="page" w:hAnchor="margin" w:x="6856" w:y="12819"/>
        <w:rPr>
          <w:rStyle w:val="C21"/>
          <w:rtl w:val="0"/>
        </w:rPr>
      </w:pPr>
      <w:r>
        <w:rPr>
          <w:rStyle w:val="C21"/>
          <w:rtl w:val="0"/>
        </w:rPr>
        <w:t>Ústní ověření</w:t>
      </w:r>
    </w:p>
    <w:p>
      <w:pPr>
        <w:pStyle w:val="P16"/>
        <w:framePr w:w="6710" w:h="376" w:hRule="exact" w:wrap="none" w:vAnchor="page" w:hAnchor="margin" w:x="45" w:y="13370"/>
        <w:rPr>
          <w:rStyle w:val="C3"/>
          <w:rtl w:val="0"/>
        </w:rPr>
      </w:pPr>
    </w:p>
    <w:p>
      <w:pPr>
        <w:pStyle w:val="P17"/>
        <w:framePr w:w="6658" w:h="249" w:hRule="exact" w:wrap="none" w:vAnchor="page" w:hAnchor="margin" w:x="71" w:y="13426"/>
        <w:rPr>
          <w:rStyle w:val="C13"/>
          <w:rtl w:val="0"/>
        </w:rPr>
      </w:pPr>
      <w:r>
        <w:rPr>
          <w:rStyle w:val="C13"/>
          <w:rtl w:val="0"/>
        </w:rPr>
        <w:t>b) Sjednat přepravu nebezpečného zboží podle zadání</w:t>
      </w:r>
    </w:p>
    <w:p>
      <w:pPr>
        <w:pStyle w:val="P30"/>
        <w:framePr w:w="3921" w:h="376" w:hRule="exact" w:wrap="none" w:vAnchor="page" w:hAnchor="margin" w:x="6800" w:y="13370"/>
        <w:rPr>
          <w:rStyle w:val="C3"/>
          <w:rtl w:val="0"/>
        </w:rPr>
      </w:pPr>
    </w:p>
    <w:p>
      <w:pPr>
        <w:pStyle w:val="P31"/>
        <w:framePr w:w="3839" w:h="249" w:hRule="exact" w:wrap="none" w:vAnchor="page" w:hAnchor="margin" w:x="6856" w:y="13426"/>
        <w:rPr>
          <w:rStyle w:val="C22"/>
          <w:rtl w:val="0"/>
        </w:rPr>
      </w:pPr>
      <w:r>
        <w:rPr>
          <w:rStyle w:val="C22"/>
          <w:rtl w:val="0"/>
        </w:rPr>
        <w:t>Praktické předvedení</w:t>
      </w:r>
    </w:p>
    <w:p>
      <w:pPr>
        <w:pStyle w:val="P12"/>
        <w:framePr w:w="6710" w:h="376" w:hRule="exact" w:wrap="none" w:vAnchor="page" w:hAnchor="margin" w:x="45" w:y="13746"/>
        <w:rPr>
          <w:rStyle w:val="C3"/>
          <w:rtl w:val="0"/>
        </w:rPr>
      </w:pPr>
    </w:p>
    <w:p>
      <w:pPr>
        <w:pStyle w:val="P13"/>
        <w:framePr w:w="6658" w:h="249" w:hRule="exact" w:wrap="none" w:vAnchor="page" w:hAnchor="margin" w:x="71" w:y="13802"/>
        <w:rPr>
          <w:rStyle w:val="C11"/>
          <w:rtl w:val="0"/>
        </w:rPr>
      </w:pPr>
      <w:r>
        <w:rPr>
          <w:rStyle w:val="C11"/>
          <w:rtl w:val="0"/>
        </w:rPr>
        <w:t>c) Sjednat přepravu nadrozměrné zásilky podle zadání</w:t>
      </w:r>
    </w:p>
    <w:p>
      <w:pPr>
        <w:pStyle w:val="P28"/>
        <w:framePr w:w="3921" w:h="376" w:hRule="exact" w:wrap="none" w:vAnchor="page" w:hAnchor="margin" w:x="6800" w:y="13746"/>
        <w:rPr>
          <w:rStyle w:val="C3"/>
          <w:rtl w:val="0"/>
        </w:rPr>
      </w:pPr>
    </w:p>
    <w:p>
      <w:pPr>
        <w:pStyle w:val="P29"/>
        <w:framePr w:w="3839" w:h="249" w:hRule="exact" w:wrap="none" w:vAnchor="page" w:hAnchor="margin" w:x="6856" w:y="13802"/>
        <w:rPr>
          <w:rStyle w:val="C21"/>
          <w:rtl w:val="0"/>
        </w:rPr>
      </w:pPr>
      <w:r>
        <w:rPr>
          <w:rStyle w:val="C21"/>
          <w:rtl w:val="0"/>
        </w:rPr>
        <w:t>Praktické předvedení</w:t>
      </w:r>
    </w:p>
    <w:p>
      <w:pPr>
        <w:pStyle w:val="P16"/>
        <w:framePr w:w="6710" w:h="376" w:hRule="exact" w:wrap="none" w:vAnchor="page" w:hAnchor="margin" w:x="45" w:y="14123"/>
        <w:rPr>
          <w:rStyle w:val="C3"/>
          <w:rtl w:val="0"/>
        </w:rPr>
      </w:pPr>
    </w:p>
    <w:p>
      <w:pPr>
        <w:pStyle w:val="P17"/>
        <w:framePr w:w="6658" w:h="249" w:hRule="exact" w:wrap="none" w:vAnchor="page" w:hAnchor="margin" w:x="71" w:y="14179"/>
        <w:rPr>
          <w:rStyle w:val="C13"/>
          <w:rtl w:val="0"/>
        </w:rPr>
      </w:pPr>
      <w:r>
        <w:rPr>
          <w:rStyle w:val="C13"/>
          <w:rtl w:val="0"/>
        </w:rPr>
        <w:t>d) Sjednat přepravu za zvláštních podmínek podle zadání</w:t>
      </w:r>
    </w:p>
    <w:p>
      <w:pPr>
        <w:pStyle w:val="P30"/>
        <w:framePr w:w="3921" w:h="376" w:hRule="exact" w:wrap="none" w:vAnchor="page" w:hAnchor="margin" w:x="6800" w:y="14123"/>
        <w:rPr>
          <w:rStyle w:val="C3"/>
          <w:rtl w:val="0"/>
        </w:rPr>
      </w:pPr>
    </w:p>
    <w:p>
      <w:pPr>
        <w:pStyle w:val="P31"/>
        <w:framePr w:w="3839" w:h="249" w:hRule="exact" w:wrap="none" w:vAnchor="page" w:hAnchor="margin" w:x="6856" w:y="14179"/>
        <w:rPr>
          <w:rStyle w:val="C22"/>
          <w:rtl w:val="0"/>
        </w:rPr>
      </w:pPr>
      <w:r>
        <w:rPr>
          <w:rStyle w:val="C22"/>
          <w:rtl w:val="0"/>
        </w:rPr>
        <w:t>Praktické předvedení</w:t>
      </w:r>
    </w:p>
    <w:p>
      <w:pPr>
        <w:pStyle w:val="P32"/>
        <w:framePr w:w="10710" w:h="248" w:hRule="exact" w:wrap="none" w:vAnchor="page" w:hAnchor="margin" w:x="28" w:y="146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 odborná referentka pro bezpečnost přepravy, 20.10.2026 8:49:05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a písemné ověřování kompetencí podle kritérií hodnocení: Orientace v úlohách a úkolech mezinárodního zasílatelství – body c), d), Výběr vhodných druhů dopravy a jejich vzájemné optimalizace – body a), c), d), Orientace v pravidlech a mezinárodních úmluvách o přepravě nebezpečného zboží, při přepravě nadrozměrných zásilek a přeprav za zvláštních podmínek v jednotlivých dopravních módech – body c), d), e), Klasifikace a značení nebezpečného zboží, nadrozměrných zásilek a přeprav za zvláštních podmínek – body a), d), e), f), Orientace v bezpečnostních programech v dopravních a logistických řetězcích – bod c) a Sjednávání přepravy nebezpečného zboží a nadrozměrných zásilek a přeprav za zvláštních podmínek – body b), c), d). Každé zadání bude obsahovat tři úkoly/otázky pro každé z uvedených kritérií hodnocení. Každé zadání bude koncipováno tak, aby tvořilo ucelenou úlohu z oblasti bezpečnosti přepravy. Uchazeč v rámci zadání bude řešit případovou studii, která bude simulovat realizaci obchodního případu z dané oblasti.</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 minimálně 10 připravených sad.</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prověřování znalostí uchazeče podle jednotlivých kritérií hodnocení a způsobilosti uchazeče správně provést zadané úkoly.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referent / odborná referentka pro bezpečnost přepravy, 20.10.2026 8:49:05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935"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zasílatelství, dopravy, skladování a ekonomiky, aktuální studijní materiály v tištěné nebo elektronické podobě, sady zadání úloh a protokoly pro záznam průběhu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99"/>
        <w:rPr>
          <w:rStyle w:val="C3"/>
          <w:rtl w:val="0"/>
        </w:rPr>
      </w:pPr>
    </w:p>
    <w:p>
      <w:pPr>
        <w:pStyle w:val="P35"/>
        <w:framePr w:w="10710" w:h="340" w:hRule="exact" w:wrap="none" w:vAnchor="page" w:hAnchor="margin" w:x="28" w:y="14199"/>
        <w:rPr>
          <w:rStyle w:val="C25"/>
          <w:rtl w:val="0"/>
        </w:rPr>
      </w:pPr>
      <w:r>
        <w:rPr>
          <w:rStyle w:val="C25"/>
          <w:rtl w:val="0"/>
        </w:rPr>
        <w:t>Doba přípravy na zkoušku</w:t>
      </w:r>
    </w:p>
    <w:p>
      <w:pPr>
        <w:keepNext w:val="0"/>
        <w:keepLines w:val="0"/>
        <w:framePr w:w="10766" w:h="806" w:hRule="exact" w:wrap="none" w:vAnchor="page" w:hAnchor="margin" w:x="0" w:y="14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Odborný referent / odborná referentka pro bezpečnost přepravy, 20.10.2026 8:49:05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Odborný referent / odborná referentka pro bezpečnost přepravy, 20.10.2026 8:49:05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Odborný referent / odborná referentka pro bezpečnost přepravy, 20.10.2026 8:49:05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84EE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A4F8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