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F21FEB" Type="http://schemas.openxmlformats.org/officeDocument/2006/relationships/officeDocument" Target="/word/document.xml" /><Relationship Id="coreR1BF21FEB" Type="http://schemas.openxmlformats.org/package/2006/relationships/metadata/core-properties" Target="/docProps/core.xml" /><Relationship Id="customR1BF21FE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pro bezpečnost přepravy (kód: 37-064-M)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Zasílatel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Výběr vhodných druhů dopravy a jejich vzájemné optimalizace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Orientace v pravidlech a mezinárodních úmluvách o přepravě nebezpečného zboží, při přepravě nadrozměrných zásilek a přeprav za zvláštních podmínek v jednotlivých dopravních módech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Klasifikace a značení nebezpečného zboží, nadrozměrných zásilek a přeprav za zvláštních podmínek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bezpečnostních programech v dopravních a logistických řetězcích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Sjednávání přepravy nebezpečného zboží a nadrozměrných zásilek a přeprav za zvláštních podmínek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Výběr vhodných druhů dopravy a jejich vzájemné optimalizace</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a) Definovat skupinu parametrů pro výběr vhodného druhu dopravy</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způsoby a postupy sledování zboží a dokladů</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c) Vyjmenovat a popsat přepravní podmínky pro přepravu za zvláštních podmínek, včetně souvisejících služeb poskytovaných zasílatelem</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d) Posoudit a vyhodnotit efektivnost dopravně-přepravních procesů podle zadání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 a ústní ověření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547" w:hRule="exact" w:wrap="none" w:vAnchor="page" w:hAnchor="margin" w:x="28" w:y="9604"/>
        <w:rPr>
          <w:rStyle w:val="C18"/>
          <w:rtl w:val="0"/>
        </w:rPr>
      </w:pPr>
      <w:r>
        <w:rPr>
          <w:rStyle w:val="C18"/>
          <w:rtl w:val="0"/>
        </w:rPr>
        <w:t>Orientace v pravidlech a mezinárodních úmluvách o přepravě nebezpečného zboží, při přepravě nadrozměrných zásilek a přeprav za zvláštních podmínek v jednotlivých dopravních módech</w:t>
      </w:r>
    </w:p>
    <w:p>
      <w:pPr>
        <w:pStyle w:val="P24"/>
        <w:framePr w:w="6713" w:h="376" w:hRule="exact" w:wrap="none" w:vAnchor="page" w:hAnchor="margin" w:x="45" w:y="10250"/>
        <w:rPr>
          <w:rStyle w:val="C3"/>
          <w:rtl w:val="0"/>
        </w:rPr>
      </w:pPr>
    </w:p>
    <w:p>
      <w:pPr>
        <w:pStyle w:val="P25"/>
        <w:framePr w:w="6661" w:h="249" w:hRule="exact" w:wrap="none" w:vAnchor="page" w:hAnchor="margin" w:x="71" w:y="10321"/>
        <w:rPr>
          <w:rStyle w:val="C19"/>
          <w:rtl w:val="0"/>
        </w:rPr>
      </w:pPr>
      <w:r>
        <w:rPr>
          <w:rStyle w:val="C19"/>
          <w:rtl w:val="0"/>
        </w:rPr>
        <w:t>Kritéria hodnocení</w:t>
      </w:r>
    </w:p>
    <w:p>
      <w:pPr>
        <w:pStyle w:val="P26"/>
        <w:framePr w:w="3918" w:h="376" w:hRule="exact" w:wrap="none" w:vAnchor="page" w:hAnchor="margin" w:x="6803" w:y="10250"/>
        <w:rPr>
          <w:rStyle w:val="C3"/>
          <w:rtl w:val="0"/>
        </w:rPr>
      </w:pPr>
    </w:p>
    <w:p>
      <w:pPr>
        <w:pStyle w:val="P27"/>
        <w:framePr w:w="3836" w:h="249" w:hRule="exact" w:wrap="none" w:vAnchor="page" w:hAnchor="margin" w:x="6859" w:y="10321"/>
        <w:rPr>
          <w:rStyle w:val="C20"/>
          <w:rtl w:val="0"/>
        </w:rPr>
      </w:pPr>
      <w:r>
        <w:rPr>
          <w:rStyle w:val="C20"/>
          <w:rtl w:val="0"/>
        </w:rPr>
        <w:t>Způsoby ověření</w:t>
      </w:r>
    </w:p>
    <w:p>
      <w:pPr>
        <w:pStyle w:val="P12"/>
        <w:framePr w:w="6710" w:h="831" w:hRule="exact" w:wrap="none" w:vAnchor="page" w:hAnchor="margin" w:x="45" w:y="10627"/>
        <w:rPr>
          <w:rStyle w:val="C3"/>
          <w:rtl w:val="0"/>
        </w:rPr>
      </w:pPr>
    </w:p>
    <w:p>
      <w:pPr>
        <w:pStyle w:val="P13"/>
        <w:framePr w:w="6658" w:h="704" w:hRule="exact" w:wrap="none" w:vAnchor="page" w:hAnchor="margin" w:x="71" w:y="10683"/>
        <w:rPr>
          <w:rStyle w:val="C11"/>
          <w:rtl w:val="0"/>
        </w:rPr>
      </w:pPr>
      <w:r>
        <w:rPr>
          <w:rStyle w:val="C11"/>
          <w:rtl w:val="0"/>
        </w:rPr>
        <w:t>a) Popsat odpovědnost přepravce, zasílatele, dopravce, třetí strany (např. skladovatele), při přepravě nebezpečného zboží, při přepravě nadrozměrných nákladů a přeprav za zvláštních podmínek</w:t>
      </w:r>
    </w:p>
    <w:p>
      <w:pPr>
        <w:pStyle w:val="P28"/>
        <w:framePr w:w="3921" w:h="831" w:hRule="exact" w:wrap="none" w:vAnchor="page" w:hAnchor="margin" w:x="6800" w:y="10627"/>
        <w:rPr>
          <w:rStyle w:val="C3"/>
          <w:rtl w:val="0"/>
        </w:rPr>
      </w:pPr>
    </w:p>
    <w:p>
      <w:pPr>
        <w:pStyle w:val="P29"/>
        <w:framePr w:w="3839" w:h="704" w:hRule="exact" w:wrap="none" w:vAnchor="page" w:hAnchor="margin" w:x="6856" w:y="10683"/>
        <w:rPr>
          <w:rStyle w:val="C21"/>
          <w:rtl w:val="0"/>
        </w:rPr>
      </w:pPr>
      <w:r>
        <w:rPr>
          <w:rStyle w:val="C21"/>
          <w:rtl w:val="0"/>
        </w:rPr>
        <w:t>Ústní ověření</w:t>
      </w:r>
    </w:p>
    <w:p>
      <w:pPr>
        <w:pStyle w:val="P16"/>
        <w:framePr w:w="6710" w:h="607" w:hRule="exact" w:wrap="none" w:vAnchor="page" w:hAnchor="margin" w:x="45" w:y="11458"/>
        <w:rPr>
          <w:rStyle w:val="C3"/>
          <w:rtl w:val="0"/>
        </w:rPr>
      </w:pPr>
    </w:p>
    <w:p>
      <w:pPr>
        <w:pStyle w:val="P17"/>
        <w:framePr w:w="6658" w:h="480" w:hRule="exact" w:wrap="none" w:vAnchor="page" w:hAnchor="margin" w:x="71" w:y="11514"/>
        <w:rPr>
          <w:rStyle w:val="C13"/>
          <w:rtl w:val="0"/>
        </w:rPr>
      </w:pPr>
      <w:r>
        <w:rPr>
          <w:rStyle w:val="C13"/>
          <w:rtl w:val="0"/>
        </w:rPr>
        <w:t>b) Prokázat orientaci v doporučeních EU pro dopravu nebezpečného zboží, při přepravě nadrozměrných nákladů a přeprav za zvláštních podmínek</w:t>
      </w:r>
    </w:p>
    <w:p>
      <w:pPr>
        <w:pStyle w:val="P30"/>
        <w:framePr w:w="3921" w:h="607" w:hRule="exact" w:wrap="none" w:vAnchor="page" w:hAnchor="margin" w:x="6800" w:y="11458"/>
        <w:rPr>
          <w:rStyle w:val="C3"/>
          <w:rtl w:val="0"/>
        </w:rPr>
      </w:pPr>
    </w:p>
    <w:p>
      <w:pPr>
        <w:pStyle w:val="P31"/>
        <w:framePr w:w="3839" w:h="480" w:hRule="exact" w:wrap="none" w:vAnchor="page" w:hAnchor="margin" w:x="6856" w:y="11514"/>
        <w:rPr>
          <w:rStyle w:val="C22"/>
          <w:rtl w:val="0"/>
        </w:rPr>
      </w:pPr>
      <w:r>
        <w:rPr>
          <w:rStyle w:val="C22"/>
          <w:rtl w:val="0"/>
        </w:rPr>
        <w:t>Ústní ověření</w:t>
      </w:r>
    </w:p>
    <w:p>
      <w:pPr>
        <w:pStyle w:val="P12"/>
        <w:framePr w:w="6710" w:h="607" w:hRule="exact" w:wrap="none" w:vAnchor="page" w:hAnchor="margin" w:x="45" w:y="12065"/>
        <w:rPr>
          <w:rStyle w:val="C3"/>
          <w:rtl w:val="0"/>
        </w:rPr>
      </w:pPr>
    </w:p>
    <w:p>
      <w:pPr>
        <w:pStyle w:val="P13"/>
        <w:framePr w:w="6658" w:h="480" w:hRule="exact" w:wrap="none" w:vAnchor="page" w:hAnchor="margin" w:x="71" w:y="12121"/>
        <w:rPr>
          <w:rStyle w:val="C11"/>
          <w:rtl w:val="0"/>
        </w:rPr>
      </w:pPr>
      <w:r>
        <w:rPr>
          <w:rStyle w:val="C11"/>
          <w:rtl w:val="0"/>
        </w:rPr>
        <w:t>c) Prokázat znalost stávajících předpisů a smluv (IATA-DGR, ICAO-TI, IMDG kód, ADR, RID, EN 12798)</w:t>
      </w:r>
    </w:p>
    <w:p>
      <w:pPr>
        <w:pStyle w:val="P28"/>
        <w:framePr w:w="3921" w:h="607" w:hRule="exact" w:wrap="none" w:vAnchor="page" w:hAnchor="margin" w:x="6800" w:y="12065"/>
        <w:rPr>
          <w:rStyle w:val="C3"/>
          <w:rtl w:val="0"/>
        </w:rPr>
      </w:pPr>
    </w:p>
    <w:p>
      <w:pPr>
        <w:pStyle w:val="P29"/>
        <w:framePr w:w="3839" w:h="480" w:hRule="exact" w:wrap="none" w:vAnchor="page" w:hAnchor="margin" w:x="6856" w:y="12121"/>
        <w:rPr>
          <w:rStyle w:val="C21"/>
          <w:rtl w:val="0"/>
        </w:rPr>
      </w:pPr>
      <w:r>
        <w:rPr>
          <w:rStyle w:val="C21"/>
          <w:rtl w:val="0"/>
        </w:rPr>
        <w:t>Písemné a ústní ověření</w:t>
      </w:r>
    </w:p>
    <w:p>
      <w:pPr>
        <w:pStyle w:val="P16"/>
        <w:framePr w:w="6710" w:h="831" w:hRule="exact" w:wrap="none" w:vAnchor="page" w:hAnchor="margin" w:x="45" w:y="12671"/>
        <w:rPr>
          <w:rStyle w:val="C3"/>
          <w:rtl w:val="0"/>
        </w:rPr>
      </w:pPr>
    </w:p>
    <w:p>
      <w:pPr>
        <w:pStyle w:val="P17"/>
        <w:framePr w:w="6658" w:h="704" w:hRule="exact" w:wrap="none" w:vAnchor="page" w:hAnchor="margin" w:x="71" w:y="12727"/>
        <w:rPr>
          <w:rStyle w:val="C13"/>
          <w:rtl w:val="0"/>
        </w:rPr>
      </w:pPr>
      <w:r>
        <w:rPr>
          <w:rStyle w:val="C13"/>
          <w:rtl w:val="0"/>
        </w:rPr>
        <w:t>d) Prokázat znalost národní a mezinárodní legislativy v oblasti přepravy nebezpečného zboží, při přepravě nadrozměrných zásilek a přeprav za zvláštních podmínek</w:t>
      </w:r>
    </w:p>
    <w:p>
      <w:pPr>
        <w:pStyle w:val="P30"/>
        <w:framePr w:w="3921" w:h="831" w:hRule="exact" w:wrap="none" w:vAnchor="page" w:hAnchor="margin" w:x="6800" w:y="12671"/>
        <w:rPr>
          <w:rStyle w:val="C3"/>
          <w:rtl w:val="0"/>
        </w:rPr>
      </w:pPr>
    </w:p>
    <w:p>
      <w:pPr>
        <w:pStyle w:val="P31"/>
        <w:framePr w:w="3839" w:h="704" w:hRule="exact" w:wrap="none" w:vAnchor="page" w:hAnchor="margin" w:x="6856" w:y="12727"/>
        <w:rPr>
          <w:rStyle w:val="C22"/>
          <w:rtl w:val="0"/>
        </w:rPr>
      </w:pPr>
      <w:r>
        <w:rPr>
          <w:rStyle w:val="C22"/>
          <w:rtl w:val="0"/>
        </w:rPr>
        <w:t>Písemné a ústní ověření</w:t>
      </w:r>
    </w:p>
    <w:p>
      <w:pPr>
        <w:pStyle w:val="P12"/>
        <w:framePr w:w="6710" w:h="607" w:hRule="exact" w:wrap="none" w:vAnchor="page" w:hAnchor="margin" w:x="45" w:y="13502"/>
        <w:rPr>
          <w:rStyle w:val="C3"/>
          <w:rtl w:val="0"/>
        </w:rPr>
      </w:pPr>
    </w:p>
    <w:p>
      <w:pPr>
        <w:pStyle w:val="P13"/>
        <w:framePr w:w="6658" w:h="480" w:hRule="exact" w:wrap="none" w:vAnchor="page" w:hAnchor="margin" w:x="71" w:y="13558"/>
        <w:rPr>
          <w:rStyle w:val="C11"/>
          <w:rtl w:val="0"/>
        </w:rPr>
      </w:pPr>
      <w:r>
        <w:rPr>
          <w:rStyle w:val="C11"/>
          <w:rtl w:val="0"/>
        </w:rPr>
        <w:t>e) Popsat postup při mimořádné události při přepravě nebezpečného zboží (nehoda, havárie, únik nebezpečné látky apod.)</w:t>
      </w:r>
    </w:p>
    <w:p>
      <w:pPr>
        <w:pStyle w:val="P28"/>
        <w:framePr w:w="3921" w:h="607" w:hRule="exact" w:wrap="none" w:vAnchor="page" w:hAnchor="margin" w:x="6800" w:y="13502"/>
        <w:rPr>
          <w:rStyle w:val="C3"/>
          <w:rtl w:val="0"/>
        </w:rPr>
      </w:pPr>
    </w:p>
    <w:p>
      <w:pPr>
        <w:pStyle w:val="P29"/>
        <w:framePr w:w="3839" w:h="480" w:hRule="exact" w:wrap="none" w:vAnchor="page" w:hAnchor="margin" w:x="6856" w:y="13558"/>
        <w:rPr>
          <w:rStyle w:val="C21"/>
          <w:rtl w:val="0"/>
        </w:rPr>
      </w:pPr>
      <w:r>
        <w:rPr>
          <w:rStyle w:val="C21"/>
          <w:rtl w:val="0"/>
        </w:rPr>
        <w:t>Písemné a ústní ověření</w:t>
      </w:r>
    </w:p>
    <w:p>
      <w:pPr>
        <w:pStyle w:val="P16"/>
        <w:framePr w:w="6710" w:h="376" w:hRule="exact" w:wrap="none" w:vAnchor="page" w:hAnchor="margin" w:x="45" w:y="14109"/>
        <w:rPr>
          <w:rStyle w:val="C3"/>
          <w:rtl w:val="0"/>
        </w:rPr>
      </w:pPr>
    </w:p>
    <w:p>
      <w:pPr>
        <w:pStyle w:val="P17"/>
        <w:framePr w:w="6658" w:h="249" w:hRule="exact" w:wrap="none" w:vAnchor="page" w:hAnchor="margin" w:x="71" w:y="14165"/>
        <w:rPr>
          <w:rStyle w:val="C13"/>
          <w:rtl w:val="0"/>
        </w:rPr>
      </w:pPr>
      <w:r>
        <w:rPr>
          <w:rStyle w:val="C13"/>
          <w:rtl w:val="0"/>
        </w:rPr>
        <w:t>f) Prokázat znalost pravidel při manipulaci s nebezpečným zbožím</w:t>
      </w:r>
    </w:p>
    <w:p>
      <w:pPr>
        <w:pStyle w:val="P30"/>
        <w:framePr w:w="3921" w:h="376" w:hRule="exact" w:wrap="none" w:vAnchor="page" w:hAnchor="margin" w:x="6800" w:y="14109"/>
        <w:rPr>
          <w:rStyle w:val="C3"/>
          <w:rtl w:val="0"/>
        </w:rPr>
      </w:pPr>
    </w:p>
    <w:p>
      <w:pPr>
        <w:pStyle w:val="P31"/>
        <w:framePr w:w="3839" w:h="249" w:hRule="exact" w:wrap="none" w:vAnchor="page" w:hAnchor="margin" w:x="6856" w:y="14165"/>
        <w:rPr>
          <w:rStyle w:val="C22"/>
          <w:rtl w:val="0"/>
        </w:rPr>
      </w:pPr>
      <w:r>
        <w:rPr>
          <w:rStyle w:val="C22"/>
          <w:rtl w:val="0"/>
        </w:rPr>
        <w:t>Ústní ověření</w:t>
      </w:r>
    </w:p>
    <w:p>
      <w:pPr>
        <w:pStyle w:val="P32"/>
        <w:framePr w:w="10710" w:h="248" w:hRule="exact" w:wrap="none" w:vAnchor="page" w:hAnchor="margin" w:x="28" w:y="14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Klasifikace a značení nebezpečného zboží, nadrozměrných zásilek a přeprav za zvláštních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a vysvětlit označování nákladu i vozidel realizujících přepravu nebezpečné zboží, přepravu nadrozměrných zásilek a přepravu za zvláštních podmínek</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Popsat druhy balení a balicí skupiny a jejich označování pro nebezpečné zboží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Charakterizovat zásady manipulace s nebezpečným zbožím, popsat rozdíl mezi nehodou a událostí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Zpracovat dokumentaci dopravce pro přepravu nebezpečného zboží, včetně multimodálního formuláře pro nebezpečné zboží</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12"/>
        <w:framePr w:w="6710" w:h="376" w:hRule="exact" w:wrap="none" w:vAnchor="page" w:hAnchor="margin" w:x="45" w:y="5829"/>
        <w:rPr>
          <w:rStyle w:val="C3"/>
          <w:rtl w:val="0"/>
        </w:rPr>
      </w:pPr>
    </w:p>
    <w:p>
      <w:pPr>
        <w:pStyle w:val="P13"/>
        <w:framePr w:w="6658" w:h="249" w:hRule="exact" w:wrap="none" w:vAnchor="page" w:hAnchor="margin" w:x="71" w:y="5885"/>
        <w:rPr>
          <w:rStyle w:val="C11"/>
          <w:rtl w:val="0"/>
        </w:rPr>
      </w:pPr>
      <w:r>
        <w:rPr>
          <w:rStyle w:val="C11"/>
          <w:rtl w:val="0"/>
        </w:rPr>
        <w:t>e) Zpracovat dokumentaci dopravce pro přepravu nadrozměrných zásilek</w:t>
      </w:r>
    </w:p>
    <w:p>
      <w:pPr>
        <w:pStyle w:val="P28"/>
        <w:framePr w:w="3921" w:h="376" w:hRule="exact" w:wrap="none" w:vAnchor="page" w:hAnchor="margin" w:x="6800" w:y="5829"/>
        <w:rPr>
          <w:rStyle w:val="C3"/>
          <w:rtl w:val="0"/>
        </w:rPr>
      </w:pPr>
    </w:p>
    <w:p>
      <w:pPr>
        <w:pStyle w:val="P29"/>
        <w:framePr w:w="3839" w:h="249" w:hRule="exact" w:wrap="none" w:vAnchor="page" w:hAnchor="margin" w:x="6856" w:y="5885"/>
        <w:rPr>
          <w:rStyle w:val="C21"/>
          <w:rtl w:val="0"/>
        </w:rPr>
      </w:pPr>
      <w:r>
        <w:rPr>
          <w:rStyle w:val="C21"/>
          <w:rtl w:val="0"/>
        </w:rPr>
        <w:t>Praktické předvedení</w:t>
      </w:r>
    </w:p>
    <w:p>
      <w:pPr>
        <w:pStyle w:val="P16"/>
        <w:framePr w:w="6710" w:h="376" w:hRule="exact" w:wrap="none" w:vAnchor="page" w:hAnchor="margin" w:x="45" w:y="6205"/>
        <w:rPr>
          <w:rStyle w:val="C3"/>
          <w:rtl w:val="0"/>
        </w:rPr>
      </w:pPr>
    </w:p>
    <w:p>
      <w:pPr>
        <w:pStyle w:val="P17"/>
        <w:framePr w:w="6658" w:h="249" w:hRule="exact" w:wrap="none" w:vAnchor="page" w:hAnchor="margin" w:x="71" w:y="6261"/>
        <w:rPr>
          <w:rStyle w:val="C13"/>
          <w:rtl w:val="0"/>
        </w:rPr>
      </w:pPr>
      <w:r>
        <w:rPr>
          <w:rStyle w:val="C13"/>
          <w:rtl w:val="0"/>
        </w:rPr>
        <w:t>f) Zpracovat dokumentaci dopravce pro přepravu za zvláštních podmínek</w:t>
      </w:r>
    </w:p>
    <w:p>
      <w:pPr>
        <w:pStyle w:val="P30"/>
        <w:framePr w:w="3921" w:h="376" w:hRule="exact" w:wrap="none" w:vAnchor="page" w:hAnchor="margin" w:x="6800" w:y="6205"/>
        <w:rPr>
          <w:rStyle w:val="C3"/>
          <w:rtl w:val="0"/>
        </w:rPr>
      </w:pPr>
    </w:p>
    <w:p>
      <w:pPr>
        <w:pStyle w:val="P31"/>
        <w:framePr w:w="3839" w:h="249" w:hRule="exact" w:wrap="none" w:vAnchor="page" w:hAnchor="margin" w:x="6856" w:y="6261"/>
        <w:rPr>
          <w:rStyle w:val="C22"/>
          <w:rtl w:val="0"/>
        </w:rPr>
      </w:pPr>
      <w:r>
        <w:rPr>
          <w:rStyle w:val="C22"/>
          <w:rtl w:val="0"/>
        </w:rPr>
        <w:t>Praktické předvedení</w:t>
      </w:r>
    </w:p>
    <w:p>
      <w:pPr>
        <w:pStyle w:val="P12"/>
        <w:framePr w:w="6710" w:h="376" w:hRule="exact" w:wrap="none" w:vAnchor="page" w:hAnchor="margin" w:x="45" w:y="6581"/>
        <w:rPr>
          <w:rStyle w:val="C3"/>
          <w:rtl w:val="0"/>
        </w:rPr>
      </w:pPr>
    </w:p>
    <w:p>
      <w:pPr>
        <w:pStyle w:val="P13"/>
        <w:framePr w:w="6658" w:h="249" w:hRule="exact" w:wrap="none" w:vAnchor="page" w:hAnchor="margin" w:x="71" w:y="6637"/>
        <w:rPr>
          <w:rStyle w:val="C11"/>
          <w:rtl w:val="0"/>
        </w:rPr>
      </w:pPr>
      <w:r>
        <w:rPr>
          <w:rStyle w:val="C11"/>
          <w:rtl w:val="0"/>
        </w:rPr>
        <w:t>g) Popsat pravidla a podmínky při skladování nebezpečného zboží</w:t>
      </w:r>
    </w:p>
    <w:p>
      <w:pPr>
        <w:pStyle w:val="P28"/>
        <w:framePr w:w="3921" w:h="376" w:hRule="exact" w:wrap="none" w:vAnchor="page" w:hAnchor="margin" w:x="6800" w:y="6581"/>
        <w:rPr>
          <w:rStyle w:val="C3"/>
          <w:rtl w:val="0"/>
        </w:rPr>
      </w:pPr>
    </w:p>
    <w:p>
      <w:pPr>
        <w:pStyle w:val="P29"/>
        <w:framePr w:w="3839" w:h="249" w:hRule="exact" w:wrap="none" w:vAnchor="page" w:hAnchor="margin" w:x="6856" w:y="6637"/>
        <w:rPr>
          <w:rStyle w:val="C21"/>
          <w:rtl w:val="0"/>
        </w:rPr>
      </w:pPr>
      <w:r>
        <w:rPr>
          <w:rStyle w:val="C21"/>
          <w:rtl w:val="0"/>
        </w:rPr>
        <w:t>Ústní ověření</w:t>
      </w:r>
    </w:p>
    <w:p>
      <w:pPr>
        <w:pStyle w:val="P16"/>
        <w:framePr w:w="6710" w:h="607" w:hRule="exact" w:wrap="none" w:vAnchor="page" w:hAnchor="margin" w:x="45" w:y="6957"/>
        <w:rPr>
          <w:rStyle w:val="C3"/>
          <w:rtl w:val="0"/>
        </w:rPr>
      </w:pPr>
    </w:p>
    <w:p>
      <w:pPr>
        <w:pStyle w:val="P17"/>
        <w:framePr w:w="6658" w:h="480" w:hRule="exact" w:wrap="none" w:vAnchor="page" w:hAnchor="margin" w:x="71" w:y="7013"/>
        <w:rPr>
          <w:rStyle w:val="C13"/>
          <w:rtl w:val="0"/>
        </w:rPr>
      </w:pPr>
      <w:r>
        <w:rPr>
          <w:rStyle w:val="C13"/>
          <w:rtl w:val="0"/>
        </w:rPr>
        <w:t>h) Vyjmenovat technické požadavky na dopravní prostředky a jejich vybavení pro přepravu nebezpečných věcí</w:t>
      </w:r>
    </w:p>
    <w:p>
      <w:pPr>
        <w:pStyle w:val="P30"/>
        <w:framePr w:w="3921" w:h="607" w:hRule="exact" w:wrap="none" w:vAnchor="page" w:hAnchor="margin" w:x="6800" w:y="6957"/>
        <w:rPr>
          <w:rStyle w:val="C3"/>
          <w:rtl w:val="0"/>
        </w:rPr>
      </w:pPr>
    </w:p>
    <w:p>
      <w:pPr>
        <w:pStyle w:val="P31"/>
        <w:framePr w:w="3839" w:h="480" w:hRule="exact" w:wrap="none" w:vAnchor="page" w:hAnchor="margin" w:x="6856" w:y="7013"/>
        <w:rPr>
          <w:rStyle w:val="C22"/>
          <w:rtl w:val="0"/>
        </w:rPr>
      </w:pPr>
      <w:r>
        <w:rPr>
          <w:rStyle w:val="C22"/>
          <w:rtl w:val="0"/>
        </w:rPr>
        <w:t>Ústní ověření</w:t>
      </w:r>
    </w:p>
    <w:p>
      <w:pPr>
        <w:pStyle w:val="P32"/>
        <w:framePr w:w="10710" w:h="248" w:hRule="exact" w:wrap="none" w:vAnchor="page" w:hAnchor="margin" w:x="28" w:y="7678"/>
        <w:rPr>
          <w:rStyle w:val="C23"/>
          <w:rtl w:val="0"/>
        </w:rPr>
      </w:pPr>
      <w:r>
        <w:rPr>
          <w:rStyle w:val="C23"/>
          <w:rtl w:val="0"/>
        </w:rPr>
        <w:t>Je třeba splnit všechna kritéria.</w:t>
      </w:r>
    </w:p>
    <w:p>
      <w:pPr>
        <w:pStyle w:val="P23"/>
        <w:framePr w:w="10710" w:h="340" w:hRule="exact" w:wrap="none" w:vAnchor="page" w:hAnchor="margin" w:x="28" w:y="8113"/>
        <w:rPr>
          <w:rStyle w:val="C18"/>
          <w:rtl w:val="0"/>
        </w:rPr>
      </w:pPr>
      <w:r>
        <w:rPr>
          <w:rStyle w:val="C18"/>
          <w:rtl w:val="0"/>
        </w:rPr>
        <w:t>Orientace v bezpečnostních programech v dopravních a logistických řetězcích</w:t>
      </w:r>
    </w:p>
    <w:p>
      <w:pPr>
        <w:pStyle w:val="P24"/>
        <w:framePr w:w="6713" w:h="376" w:hRule="exact" w:wrap="none" w:vAnchor="page" w:hAnchor="margin" w:x="45" w:y="8552"/>
        <w:rPr>
          <w:rStyle w:val="C3"/>
          <w:rtl w:val="0"/>
        </w:rPr>
      </w:pPr>
    </w:p>
    <w:p>
      <w:pPr>
        <w:pStyle w:val="P25"/>
        <w:framePr w:w="6661" w:h="249" w:hRule="exact" w:wrap="none" w:vAnchor="page" w:hAnchor="margin" w:x="71" w:y="8623"/>
        <w:rPr>
          <w:rStyle w:val="C19"/>
          <w:rtl w:val="0"/>
        </w:rPr>
      </w:pPr>
      <w:r>
        <w:rPr>
          <w:rStyle w:val="C19"/>
          <w:rtl w:val="0"/>
        </w:rPr>
        <w:t>Kritéria hodnocení</w:t>
      </w:r>
    </w:p>
    <w:p>
      <w:pPr>
        <w:pStyle w:val="P26"/>
        <w:framePr w:w="3918" w:h="376" w:hRule="exact" w:wrap="none" w:vAnchor="page" w:hAnchor="margin" w:x="6803" w:y="8552"/>
        <w:rPr>
          <w:rStyle w:val="C3"/>
          <w:rtl w:val="0"/>
        </w:rPr>
      </w:pPr>
    </w:p>
    <w:p>
      <w:pPr>
        <w:pStyle w:val="P27"/>
        <w:framePr w:w="3836" w:h="249" w:hRule="exact" w:wrap="none" w:vAnchor="page" w:hAnchor="margin" w:x="6859" w:y="8623"/>
        <w:rPr>
          <w:rStyle w:val="C20"/>
          <w:rtl w:val="0"/>
        </w:rPr>
      </w:pPr>
      <w:r>
        <w:rPr>
          <w:rStyle w:val="C20"/>
          <w:rtl w:val="0"/>
        </w:rPr>
        <w:t>Způsoby ověření</w:t>
      </w:r>
    </w:p>
    <w:p>
      <w:pPr>
        <w:pStyle w:val="P12"/>
        <w:framePr w:w="6710" w:h="607" w:hRule="exact" w:wrap="none" w:vAnchor="page" w:hAnchor="margin" w:x="45" w:y="8929"/>
        <w:rPr>
          <w:rStyle w:val="C3"/>
          <w:rtl w:val="0"/>
        </w:rPr>
      </w:pPr>
    </w:p>
    <w:p>
      <w:pPr>
        <w:pStyle w:val="P13"/>
        <w:framePr w:w="6658" w:h="480" w:hRule="exact" w:wrap="none" w:vAnchor="page" w:hAnchor="margin" w:x="71" w:y="8985"/>
        <w:rPr>
          <w:rStyle w:val="C11"/>
          <w:rtl w:val="0"/>
        </w:rPr>
      </w:pPr>
      <w:r>
        <w:rPr>
          <w:rStyle w:val="C11"/>
          <w:rtl w:val="0"/>
        </w:rPr>
        <w:t>a) Popsat multimodální kontrolní a oznamovací systém pro námořní, leteckou, silniční a železniční dopravu</w:t>
      </w:r>
    </w:p>
    <w:p>
      <w:pPr>
        <w:pStyle w:val="P28"/>
        <w:framePr w:w="3921" w:h="607" w:hRule="exact" w:wrap="none" w:vAnchor="page" w:hAnchor="margin" w:x="6800" w:y="8929"/>
        <w:rPr>
          <w:rStyle w:val="C3"/>
          <w:rtl w:val="0"/>
        </w:rPr>
      </w:pPr>
    </w:p>
    <w:p>
      <w:pPr>
        <w:pStyle w:val="P29"/>
        <w:framePr w:w="3839" w:h="480" w:hRule="exact" w:wrap="none" w:vAnchor="page" w:hAnchor="margin" w:x="6856" w:y="8985"/>
        <w:rPr>
          <w:rStyle w:val="C21"/>
          <w:rtl w:val="0"/>
        </w:rPr>
      </w:pPr>
      <w:r>
        <w:rPr>
          <w:rStyle w:val="C21"/>
          <w:rtl w:val="0"/>
        </w:rPr>
        <w:t>Ústní ověření</w:t>
      </w:r>
    </w:p>
    <w:p>
      <w:pPr>
        <w:pStyle w:val="P16"/>
        <w:framePr w:w="6710" w:h="376" w:hRule="exact" w:wrap="none" w:vAnchor="page" w:hAnchor="margin" w:x="45" w:y="9536"/>
        <w:rPr>
          <w:rStyle w:val="C3"/>
          <w:rtl w:val="0"/>
        </w:rPr>
      </w:pPr>
    </w:p>
    <w:p>
      <w:pPr>
        <w:pStyle w:val="P17"/>
        <w:framePr w:w="6658" w:h="249" w:hRule="exact" w:wrap="none" w:vAnchor="page" w:hAnchor="margin" w:x="71" w:y="9592"/>
        <w:rPr>
          <w:rStyle w:val="C13"/>
          <w:rtl w:val="0"/>
        </w:rPr>
      </w:pPr>
      <w:r>
        <w:rPr>
          <w:rStyle w:val="C13"/>
          <w:rtl w:val="0"/>
        </w:rPr>
        <w:t>b) Popsat programy implementované USA po 11. září</w:t>
      </w:r>
    </w:p>
    <w:p>
      <w:pPr>
        <w:pStyle w:val="P30"/>
        <w:framePr w:w="3921" w:h="376" w:hRule="exact" w:wrap="none" w:vAnchor="page" w:hAnchor="margin" w:x="6800" w:y="9536"/>
        <w:rPr>
          <w:rStyle w:val="C3"/>
          <w:rtl w:val="0"/>
        </w:rPr>
      </w:pPr>
    </w:p>
    <w:p>
      <w:pPr>
        <w:pStyle w:val="P31"/>
        <w:framePr w:w="3839" w:h="249" w:hRule="exact" w:wrap="none" w:vAnchor="page" w:hAnchor="margin" w:x="6856" w:y="9592"/>
        <w:rPr>
          <w:rStyle w:val="C22"/>
          <w:rtl w:val="0"/>
        </w:rPr>
      </w:pPr>
      <w:r>
        <w:rPr>
          <w:rStyle w:val="C22"/>
          <w:rtl w:val="0"/>
        </w:rPr>
        <w:t>Ústní ověření</w:t>
      </w:r>
    </w:p>
    <w:p>
      <w:pPr>
        <w:pStyle w:val="P12"/>
        <w:framePr w:w="6710" w:h="1280" w:hRule="exact" w:wrap="none" w:vAnchor="page" w:hAnchor="margin" w:x="45" w:y="9912"/>
        <w:rPr>
          <w:rStyle w:val="C3"/>
          <w:rtl w:val="0"/>
        </w:rPr>
      </w:pPr>
    </w:p>
    <w:p>
      <w:pPr>
        <w:pStyle w:val="P13"/>
        <w:framePr w:w="6658" w:h="1153" w:hRule="exact" w:wrap="none" w:vAnchor="page" w:hAnchor="margin" w:x="71" w:y="9968"/>
        <w:rPr>
          <w:rStyle w:val="C11"/>
          <w:rtl w:val="0"/>
        </w:rPr>
      </w:pPr>
      <w:r>
        <w:rPr>
          <w:rStyle w:val="C11"/>
          <w:rtl w:val="0"/>
        </w:rPr>
        <w:t>c) Prokázat znalost Authorised Economic Operator (AEO) jednoho z hlavních bezpečnostních dodatků Celního kódu EU, Safety and Qualioty Assesment Systém (SQAS) systému vyhodnocování kvality, bezpečnosti, zabezpečení a vlivu na životní prostředí poskytovateli logistických služeb a distributorů chemických látek</w:t>
      </w:r>
    </w:p>
    <w:p>
      <w:pPr>
        <w:pStyle w:val="P28"/>
        <w:framePr w:w="3921" w:h="1280" w:hRule="exact" w:wrap="none" w:vAnchor="page" w:hAnchor="margin" w:x="6800" w:y="9912"/>
        <w:rPr>
          <w:rStyle w:val="C3"/>
          <w:rtl w:val="0"/>
        </w:rPr>
      </w:pPr>
    </w:p>
    <w:p>
      <w:pPr>
        <w:pStyle w:val="P29"/>
        <w:framePr w:w="3839" w:h="1153" w:hRule="exact" w:wrap="none" w:vAnchor="page" w:hAnchor="margin" w:x="6856" w:y="9968"/>
        <w:rPr>
          <w:rStyle w:val="C21"/>
          <w:rtl w:val="0"/>
        </w:rPr>
      </w:pPr>
      <w:r>
        <w:rPr>
          <w:rStyle w:val="C21"/>
          <w:rtl w:val="0"/>
        </w:rPr>
        <w:t>Písemné a 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3"/>
        <w:framePr w:w="10710" w:h="547" w:hRule="exact" w:wrap="none" w:vAnchor="page" w:hAnchor="margin" w:x="28" w:y="11740"/>
        <w:rPr>
          <w:rStyle w:val="C18"/>
          <w:rtl w:val="0"/>
        </w:rPr>
      </w:pPr>
      <w:r>
        <w:rPr>
          <w:rStyle w:val="C18"/>
          <w:rtl w:val="0"/>
        </w:rPr>
        <w:t>Sjednávání přepravy nebezpečného zboží a nadrozměrných zásilek a přeprav za zvláštních podmínek</w:t>
      </w:r>
    </w:p>
    <w:p>
      <w:pPr>
        <w:pStyle w:val="P24"/>
        <w:framePr w:w="6713" w:h="376" w:hRule="exact" w:wrap="none" w:vAnchor="page" w:hAnchor="margin" w:x="45" w:y="12387"/>
        <w:rPr>
          <w:rStyle w:val="C3"/>
          <w:rtl w:val="0"/>
        </w:rPr>
      </w:pPr>
    </w:p>
    <w:p>
      <w:pPr>
        <w:pStyle w:val="P25"/>
        <w:framePr w:w="6661" w:h="249" w:hRule="exact" w:wrap="none" w:vAnchor="page" w:hAnchor="margin" w:x="71" w:y="12458"/>
        <w:rPr>
          <w:rStyle w:val="C19"/>
          <w:rtl w:val="0"/>
        </w:rPr>
      </w:pPr>
      <w:r>
        <w:rPr>
          <w:rStyle w:val="C19"/>
          <w:rtl w:val="0"/>
        </w:rPr>
        <w:t>Kritéria hodnocení</w:t>
      </w:r>
    </w:p>
    <w:p>
      <w:pPr>
        <w:pStyle w:val="P26"/>
        <w:framePr w:w="3918" w:h="376" w:hRule="exact" w:wrap="none" w:vAnchor="page" w:hAnchor="margin" w:x="6803" w:y="12387"/>
        <w:rPr>
          <w:rStyle w:val="C3"/>
          <w:rtl w:val="0"/>
        </w:rPr>
      </w:pPr>
    </w:p>
    <w:p>
      <w:pPr>
        <w:pStyle w:val="P27"/>
        <w:framePr w:w="3836" w:h="249" w:hRule="exact" w:wrap="none" w:vAnchor="page" w:hAnchor="margin" w:x="6859" w:y="12458"/>
        <w:rPr>
          <w:rStyle w:val="C20"/>
          <w:rtl w:val="0"/>
        </w:rPr>
      </w:pPr>
      <w:r>
        <w:rPr>
          <w:rStyle w:val="C20"/>
          <w:rtl w:val="0"/>
        </w:rPr>
        <w:t>Způsoby ověření</w:t>
      </w:r>
    </w:p>
    <w:p>
      <w:pPr>
        <w:pStyle w:val="P12"/>
        <w:framePr w:w="6710" w:h="607" w:hRule="exact" w:wrap="none" w:vAnchor="page" w:hAnchor="margin" w:x="45" w:y="12763"/>
        <w:rPr>
          <w:rStyle w:val="C3"/>
          <w:rtl w:val="0"/>
        </w:rPr>
      </w:pPr>
    </w:p>
    <w:p>
      <w:pPr>
        <w:pStyle w:val="P13"/>
        <w:framePr w:w="6658" w:h="480" w:hRule="exact" w:wrap="none" w:vAnchor="page" w:hAnchor="margin" w:x="71" w:y="12819"/>
        <w:rPr>
          <w:rStyle w:val="C11"/>
          <w:rtl w:val="0"/>
        </w:rPr>
      </w:pPr>
      <w:r>
        <w:rPr>
          <w:rStyle w:val="C11"/>
          <w:rtl w:val="0"/>
        </w:rPr>
        <w:t>a) Vysvětlit způsob objednávání přepravy nebezpečného zboží a nadrozměrných zásilek a přeprav za zvláštních podmínek</w:t>
      </w:r>
    </w:p>
    <w:p>
      <w:pPr>
        <w:pStyle w:val="P28"/>
        <w:framePr w:w="3921" w:h="607" w:hRule="exact" w:wrap="none" w:vAnchor="page" w:hAnchor="margin" w:x="6800" w:y="12763"/>
        <w:rPr>
          <w:rStyle w:val="C3"/>
          <w:rtl w:val="0"/>
        </w:rPr>
      </w:pPr>
    </w:p>
    <w:p>
      <w:pPr>
        <w:pStyle w:val="P29"/>
        <w:framePr w:w="3839" w:h="480" w:hRule="exact" w:wrap="none" w:vAnchor="page" w:hAnchor="margin" w:x="6856" w:y="12819"/>
        <w:rPr>
          <w:rStyle w:val="C21"/>
          <w:rtl w:val="0"/>
        </w:rPr>
      </w:pPr>
      <w:r>
        <w:rPr>
          <w:rStyle w:val="C21"/>
          <w:rtl w:val="0"/>
        </w:rPr>
        <w:t>Ústní ověření</w:t>
      </w:r>
    </w:p>
    <w:p>
      <w:pPr>
        <w:pStyle w:val="P16"/>
        <w:framePr w:w="6710" w:h="376" w:hRule="exact" w:wrap="none" w:vAnchor="page" w:hAnchor="margin" w:x="45" w:y="13370"/>
        <w:rPr>
          <w:rStyle w:val="C3"/>
          <w:rtl w:val="0"/>
        </w:rPr>
      </w:pPr>
    </w:p>
    <w:p>
      <w:pPr>
        <w:pStyle w:val="P17"/>
        <w:framePr w:w="6658" w:h="249" w:hRule="exact" w:wrap="none" w:vAnchor="page" w:hAnchor="margin" w:x="71" w:y="13426"/>
        <w:rPr>
          <w:rStyle w:val="C13"/>
          <w:rtl w:val="0"/>
        </w:rPr>
      </w:pPr>
      <w:r>
        <w:rPr>
          <w:rStyle w:val="C13"/>
          <w:rtl w:val="0"/>
        </w:rPr>
        <w:t>b) Sjednat přepravu nebezpečného zboží podle zadání</w:t>
      </w:r>
    </w:p>
    <w:p>
      <w:pPr>
        <w:pStyle w:val="P30"/>
        <w:framePr w:w="3921" w:h="376" w:hRule="exact" w:wrap="none" w:vAnchor="page" w:hAnchor="margin" w:x="6800" w:y="13370"/>
        <w:rPr>
          <w:rStyle w:val="C3"/>
          <w:rtl w:val="0"/>
        </w:rPr>
      </w:pPr>
    </w:p>
    <w:p>
      <w:pPr>
        <w:pStyle w:val="P31"/>
        <w:framePr w:w="3839" w:h="249" w:hRule="exact" w:wrap="none" w:vAnchor="page" w:hAnchor="margin" w:x="6856" w:y="13426"/>
        <w:rPr>
          <w:rStyle w:val="C22"/>
          <w:rtl w:val="0"/>
        </w:rPr>
      </w:pPr>
      <w:r>
        <w:rPr>
          <w:rStyle w:val="C22"/>
          <w:rtl w:val="0"/>
        </w:rPr>
        <w:t>Praktické předvedení</w:t>
      </w:r>
    </w:p>
    <w:p>
      <w:pPr>
        <w:pStyle w:val="P12"/>
        <w:framePr w:w="6710" w:h="376" w:hRule="exact" w:wrap="none" w:vAnchor="page" w:hAnchor="margin" w:x="45" w:y="13746"/>
        <w:rPr>
          <w:rStyle w:val="C3"/>
          <w:rtl w:val="0"/>
        </w:rPr>
      </w:pPr>
    </w:p>
    <w:p>
      <w:pPr>
        <w:pStyle w:val="P13"/>
        <w:framePr w:w="6658" w:h="249" w:hRule="exact" w:wrap="none" w:vAnchor="page" w:hAnchor="margin" w:x="71" w:y="13802"/>
        <w:rPr>
          <w:rStyle w:val="C11"/>
          <w:rtl w:val="0"/>
        </w:rPr>
      </w:pPr>
      <w:r>
        <w:rPr>
          <w:rStyle w:val="C11"/>
          <w:rtl w:val="0"/>
        </w:rPr>
        <w:t>c) Sjednat přepravu nadrozměrné zásilky podle zadání</w:t>
      </w:r>
    </w:p>
    <w:p>
      <w:pPr>
        <w:pStyle w:val="P28"/>
        <w:framePr w:w="3921" w:h="376" w:hRule="exact" w:wrap="none" w:vAnchor="page" w:hAnchor="margin" w:x="6800" w:y="13746"/>
        <w:rPr>
          <w:rStyle w:val="C3"/>
          <w:rtl w:val="0"/>
        </w:rPr>
      </w:pPr>
    </w:p>
    <w:p>
      <w:pPr>
        <w:pStyle w:val="P29"/>
        <w:framePr w:w="3839" w:h="249" w:hRule="exact" w:wrap="none" w:vAnchor="page" w:hAnchor="margin" w:x="6856" w:y="13802"/>
        <w:rPr>
          <w:rStyle w:val="C21"/>
          <w:rtl w:val="0"/>
        </w:rPr>
      </w:pPr>
      <w:r>
        <w:rPr>
          <w:rStyle w:val="C21"/>
          <w:rtl w:val="0"/>
        </w:rPr>
        <w:t>Praktické předvedení</w:t>
      </w:r>
    </w:p>
    <w:p>
      <w:pPr>
        <w:pStyle w:val="P16"/>
        <w:framePr w:w="6710" w:h="376" w:hRule="exact" w:wrap="none" w:vAnchor="page" w:hAnchor="margin" w:x="45" w:y="14123"/>
        <w:rPr>
          <w:rStyle w:val="C3"/>
          <w:rtl w:val="0"/>
        </w:rPr>
      </w:pPr>
    </w:p>
    <w:p>
      <w:pPr>
        <w:pStyle w:val="P17"/>
        <w:framePr w:w="6658" w:h="249" w:hRule="exact" w:wrap="none" w:vAnchor="page" w:hAnchor="margin" w:x="71" w:y="14179"/>
        <w:rPr>
          <w:rStyle w:val="C13"/>
          <w:rtl w:val="0"/>
        </w:rPr>
      </w:pPr>
      <w:r>
        <w:rPr>
          <w:rStyle w:val="C13"/>
          <w:rtl w:val="0"/>
        </w:rPr>
        <w:t>d) Sjednat přepravu za zvláštních podmínek podle zadání</w:t>
      </w:r>
    </w:p>
    <w:p>
      <w:pPr>
        <w:pStyle w:val="P30"/>
        <w:framePr w:w="3921" w:h="376" w:hRule="exact" w:wrap="none" w:vAnchor="page" w:hAnchor="margin" w:x="6800" w:y="14123"/>
        <w:rPr>
          <w:rStyle w:val="C3"/>
          <w:rtl w:val="0"/>
        </w:rPr>
      </w:pPr>
    </w:p>
    <w:p>
      <w:pPr>
        <w:pStyle w:val="P31"/>
        <w:framePr w:w="3839" w:h="249" w:hRule="exact" w:wrap="none" w:vAnchor="page" w:hAnchor="margin" w:x="6856" w:y="14179"/>
        <w:rPr>
          <w:rStyle w:val="C22"/>
          <w:rtl w:val="0"/>
        </w:rPr>
      </w:pPr>
      <w:r>
        <w:rPr>
          <w:rStyle w:val="C22"/>
          <w:rtl w:val="0"/>
        </w:rPr>
        <w:t>Praktické předvedení</w:t>
      </w:r>
    </w:p>
    <w:p>
      <w:pPr>
        <w:pStyle w:val="P32"/>
        <w:framePr w:w="10710" w:h="248" w:hRule="exact" w:wrap="none" w:vAnchor="page" w:hAnchor="margin" w:x="28" w:y="146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Výběr vhodných druhů dopravy a jejich vzájemné optimalizace – body a), c), d), Orientace v pravidlech a mezinárodních úmluvách o přepravě nebezpečného zboží, při přepravě nadrozměrných zásilek a přeprav za zvláštních podmínek v jednotlivých dopravních módech – body c), d), e), Klasifikace a značení nebezpečného zboží, nadrozměrných zásilek a přeprav za zvláštních podmínek – body a), d), e), f), Orientace v bezpečnostních programech v dopravních a logistických řetězcích – bod c) a Sjednávání přepravy nebezpečného zboží a nadrozměrných zásilek a přeprav za zvláštních podmínek – body b), c), d). Každé zadání bude obsahovat tři úkoly/otázky pro každé z uvedených kritérií hodnocení. Každé zadání bude koncipováno tak, aby tvořilo ucelenou úlohu z oblasti bezpečnosti přepravy. Uchazeč v rámci zadání bude řešit případovou studii, která bude simulovat realizaci obchodního případu z dané oblasti.</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Výsledné hodnocení</w:t>
      </w:r>
    </w:p>
    <w:p>
      <w:pPr>
        <w:keepNext w:val="0"/>
        <w:keepLines w:val="0"/>
        <w:framePr w:w="10766" w:h="1497"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78"/>
        <w:rPr>
          <w:rStyle w:val="C3"/>
          <w:rtl w:val="0"/>
        </w:rPr>
      </w:pPr>
    </w:p>
    <w:p>
      <w:pPr>
        <w:pStyle w:val="P35"/>
        <w:framePr w:w="10710" w:h="340" w:hRule="exact" w:wrap="none" w:vAnchor="page" w:hAnchor="margin" w:x="28" w:y="10578"/>
        <w:rPr>
          <w:rStyle w:val="C25"/>
          <w:rtl w:val="0"/>
        </w:rPr>
      </w:pPr>
      <w:r>
        <w:rPr>
          <w:rStyle w:val="C25"/>
          <w:rtl w:val="0"/>
        </w:rPr>
        <w:t>Počet zkoušejících</w:t>
      </w:r>
    </w:p>
    <w:p>
      <w:pPr>
        <w:keepNext w:val="0"/>
        <w:keepLines w:val="0"/>
        <w:framePr w:w="10766" w:h="1036" w:hRule="exact" w:wrap="none" w:vAnchor="page" w:hAnchor="margin" w:x="0" w:y="10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pro bezpečnost přepravy, 20.6.2026 23:20:06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77DB9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7FDB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