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6B90C" Type="http://schemas.openxmlformats.org/officeDocument/2006/relationships/officeDocument" Target="/word/document.xml" /><Relationship Id="coreR21B6B90C" Type="http://schemas.openxmlformats.org/package/2006/relationships/metadata/core-properties" Target="/docProps/core.xml" /><Relationship Id="customR21B6B9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pro pojištění a reklamace v přepravě (kód: 37-065-M)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Zasílatel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odpovědnostním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dopravním pojištění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kvalitativních ukazatelích a parametrech zasílatelské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uzavření pojistky související s přepravou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reklamaci souvisejících s přepravou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pojištění a reklamace v přepravě, 30.9.2026 6:00:17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Orientace v dopravním pojištění – body a), c), f), Orientace v kvalitativních ukazatelích a parametrech zasílatelské činnosti – body b), d), Zpracování podkladů pro uzavření pojistky související s přepravou – body a), b) a Vyřizování reklamací souvisejících s přepravou a), b). Každé zadání bude obsahovat tři úkoly/otázky pro každé z uvedených kritérií hodnocení. Každé zadání bude koncipováno tak, aby tvořilo ucelenou úlohu z oblasti pojištění a reklamace v přepravě.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pojištění a reklamace v přepravě, 30.9.2026 6:00:17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pojištění a reklamace v přepravě, 30.9.2026 6:00:17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