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B66E7E" Type="http://schemas.openxmlformats.org/officeDocument/2006/relationships/officeDocument" Target="/word/document.xml" /><Relationship Id="coreR3BB66E7E" Type="http://schemas.openxmlformats.org/package/2006/relationships/metadata/core-properties" Target="/docProps/core.xml" /><Relationship Id="customR3BB66E7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Kožařský technik návrhář a modelář rukavičkářských výrobků (kód: 32-034-M)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standardních technologických a výrobních postupech rukavičkářské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technické dokumentace kožedělné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kvality usní, základních a pomocných materiálů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módních trendech rukavičkářských materiálů a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Navrhování a vytváření nových modelů pro rukavičkářskou výrobu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Tvorba šablon pro výrobu rukavic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Rozvádění šablon pro výrobu rukavic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Prezentace rukavičkářské kolekce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29.09.2017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návrhář a modelář rukavičkářských výrobků, 7.11.2026 17:58:01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3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pro vykonání zkoušky není vyžadována.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v úseku rukavičkářské výroby.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ve standardních technologických a výrobních postupech rukavičkářské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b), zadá autorizovaná osoba pro ověření kritéria počet rukavičkářských výrobků (v minimálním počtu 2 - maximálně 5 vzorků výrobků), a to podle zaměření konkrétní kožedělné výroby a místa konání zkoušky.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kvality usní, základních a pomocných materiálů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hodnocení a) a b), zadá autorizovaná osoba počet vzorků usní, základních a pomocných materiálů (v minimálním počtu 2 - maximálně 5 vzorků od každého druhu) podle zaměření konkrétní kožedělné výroby a místa konání zkoušky.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jednu modelovou situaci pro ověření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módních trendech rukavičkářských materiálů a výrobků,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hodnocení b).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Prezentace rukavičkářské kolekce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c), zadá autorizovaná osoba požadavky na vytvoření nové rukavičkářské kolekce.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hodnocení založených na formě praktického předvedení je třeba přihlížet především k bezpečnému provádění všech úkonů, ke komplexnímu přístupu k řešení daného úkolu, ke kreativitě a estetickému cítění, k celkové kvalitě provedení.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ústním projevu je třeba sledovat používání odborné terminologie, využívání teoretických znalostí pro řešení úkolů a používání jednoznačných formulací.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realizována v učebně, případně vhodné místnosti pro provedení ústní a písemné části zkoušky, bude probíhat formou komunikace mezi zkoušejícím a uchazečem při řešení modelových situací a činností, které vyžadují práci s PC. Ověřování uvedených odborných kompetencí nevyžaduje ověřování v reálném provoze.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návrhář a modelář rukavičkářských výrobků, 7.11.2026 17:58:01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Gasibo,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kožedělného zboží,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návrhář a modelář rukavičkářských výrobků, 7.11.2026 17:58:01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