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AE96C" Type="http://schemas.openxmlformats.org/officeDocument/2006/relationships/officeDocument" Target="/word/document.xml" /><Relationship Id="coreR375AE96C" Type="http://schemas.openxmlformats.org/package/2006/relationships/metadata/core-properties" Target="/docProps/core.xml" /><Relationship Id="customR375AE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 chemicko-farmaceutická analytička a střední vzdělání s maturitní zkouškou a alespoň 5 let odborné praxe v oblasti chemie nebo farmacie.</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0C5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32B0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422B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