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B41F543" Type="http://schemas.openxmlformats.org/officeDocument/2006/relationships/officeDocument" Target="/word/document.xml" /><Relationship Id="coreR6B41F543" Type="http://schemas.openxmlformats.org/package/2006/relationships/metadata/core-properties" Target="/docProps/core.xml" /><Relationship Id="customR6B41F54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Chemicko-farmaceutický analytik / chemicko-farmaceutická analytička (kód: 28-094-M)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Chemicko-farmaceutický analytik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zásadách správné výrobní praxe a farmaceutickém systému jakosti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Ověřování kvality procesů a produktů v chemicko-farmaceutické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Dodržování zásad práce s účinnými léčivými látkami</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Testování chemicko-farmaceutického produktu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Provádění a vyhodnocování individuálních laboratorních analýz při použití metod analytické chemie</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Vzorkování materiálů v chemicko-farmaceutické praxi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Dodržování hygienických zásad ve farmaceutické výrobě</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Práce s předpisovou a záznamovou dokumentací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Validace, kalibrace a nastavování laboratorních přístrojů a zařízení, ověřování jejich správné funkce</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4</w:t>
      </w:r>
    </w:p>
    <w:p>
      <w:pPr>
        <w:pStyle w:val="P7"/>
        <w:framePr w:w="8788" w:h="340" w:hRule="exact" w:wrap="none" w:vAnchor="page" w:hAnchor="margin" w:x="28" w:y="9232"/>
        <w:rPr>
          <w:rStyle w:val="C8"/>
          <w:rtl w:val="0"/>
        </w:rPr>
      </w:pPr>
      <w:r>
        <w:rPr>
          <w:rStyle w:val="C8"/>
          <w:rtl w:val="0"/>
        </w:rPr>
        <w:t>Platnost standardu</w:t>
      </w:r>
    </w:p>
    <w:p>
      <w:pPr>
        <w:pStyle w:val="P20"/>
        <w:framePr w:w="2928" w:h="248" w:hRule="exact" w:wrap="none" w:vAnchor="page" w:hAnchor="margin" w:x="28" w:y="9573"/>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Chemicko-farmaceutický analytik / chemicko-farmaceutická analytička, 11.9.2026 18:47:29</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12435"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https://nsp.cz/jednotka-prace/chemicko-farmaceuticky-an#zdravotni-zpusobilost).</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ověřování kompetencí se zadávají souborné úlohy (připraví autorizovaná osoba), které prokazují aplikační schopnost, znalost a dovednost v oboru.</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ústní ověření: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vlastními slovy vysvětlí, popíše, definuje prvky zadané v kritériích hodnocení a svůj ústní projev může doplnit o náčrt, kresbu apod.</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písemné ověření: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písemně, náčrtem (náčrt toku) nebo popsanou kresbou vysvětlí, popíše, definuje prvky zadané v kritériích hodnocení.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písemné a ústní ověření: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písemně, náčrtem (náčrt toku) nebo popsanou kresbou vysvětlí, popíše, definuje prvky zadané v kritériích hodnocení a detaily doplní ústně.</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praktické ověření: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předvede simulaci procesu za pomoci pomůcek a měřicích zařízení a jejich obsluhu po přečtení předloženého vzoru standardního operačního postupu. Ověření proběhne ve vhodných laboratorních prostorách. Ústně popíše, co provádí a proč to provádí. Provedené kroky simulovaného procesu zapíše do předloženého vzoru záznamové dokumentace.</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 pro praktické předvedení a ústní ověření: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předvede simulaci procesu za pomoci vhodných pomůcek, výkresů, modelů nebo zařízení. Postup bude podle potřeby k dispozici ve standardním operačním postupu. Ověření proběhne ve vhodných laboratorních prostorách. Provedené kroky simulovaného procesu zapíše případně do předloženého vzoru záznamové dokumentace. Ústně popíše, co provádí a proč to provádí a vlastními slovy vysvětlí, popíše, definuje prvky zadané v kritériích hodnocení a svůj ústní projev může doplnit o náčrt, kresbu apod.</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Validace, kalibrace a nastavování laboratorních přístrojů a zařízení, ověřování jejich správné funkce, kritérium hodnocení c) autorizovaná osoba zadá laboratorní přístroj nebo zařízení podle možnosti pracoviště (analytické váhy nebo pH metr nebo teploměr nebo jiné), na kterém uchazeč provede dané kritérium hodnocení.</w:t>
      </w:r>
    </w:p>
    <w:p>
      <w:pPr>
        <w:keepNext w:val="0"/>
        <w:keepLines w:val="0"/>
        <w:framePr w:w="10766" w:h="117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Testování chemicko-farmaceutického produktu, kritérium hodnocení b) se použije metoda stanovení podle možnosti vybavení pracoviště.</w:t>
      </w:r>
    </w:p>
    <w:p>
      <w:pPr>
        <w:pStyle w:val="P21"/>
        <w:framePr w:w="7654" w:h="331" w:hRule="exact" w:wrap="none" w:vAnchor="page" w:hAnchor="margin" w:x="28" w:y="15940"/>
        <w:rPr>
          <w:rStyle w:val="C16"/>
          <w:rtl w:val="0"/>
        </w:rPr>
      </w:pPr>
      <w:r>
        <w:rPr>
          <w:rStyle w:val="C16"/>
          <w:rtl w:val="0"/>
        </w:rPr>
        <w:t>Chemicko-farmaceutický analytik / chemicko-farmaceutická analytička, 11.9.2026 18:47:29</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chemii, ustavená a licencovaná pro tuto činnost HK ČR a SP ČR.</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Masarykova střední škola chemická, Praha</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Zentiva, k. s., Praha</w:t>
      </w:r>
    </w:p>
    <w:p>
      <w:pPr>
        <w:keepNext w:val="0"/>
        <w:keepLines w:val="0"/>
        <w:framePr w:w="10766" w:h="1642"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Ferring-Léčiva, a. s., Jesenice</w:t>
      </w:r>
    </w:p>
    <w:p>
      <w:pPr>
        <w:pStyle w:val="P21"/>
        <w:framePr w:w="7654" w:h="331" w:hRule="exact" w:wrap="none" w:vAnchor="page" w:hAnchor="margin" w:x="28" w:y="15940"/>
        <w:rPr>
          <w:rStyle w:val="C16"/>
          <w:rtl w:val="0"/>
        </w:rPr>
      </w:pPr>
      <w:r>
        <w:rPr>
          <w:rStyle w:val="C16"/>
          <w:rtl w:val="0"/>
        </w:rPr>
        <w:t>Chemicko-farmaceutický analytik / chemicko-farmaceutická analytička, 11.9.2026 18:47:29</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