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CF97F8" Type="http://schemas.openxmlformats.org/officeDocument/2006/relationships/officeDocument" Target="/word/document.xml" /><Relationship Id="coreR63CF97F8" Type="http://schemas.openxmlformats.org/package/2006/relationships/metadata/core-properties" Target="/docProps/core.xml" /><Relationship Id="customR63CF97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Chemicko-farmaceutický analytik, 20.4.2026 23:56:28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 xml:space="preserve">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 xml:space="preserve">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 xml:space="preserve">c) Vyhodnotit trendy  a vysvětlit důvody a princip sledování obsahu účinné látky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Zdůvodnit plánování analýz podle výrobního plánu výroby šarží</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princip analýzy rizik pro jakost a důvody jejího používání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Dodržování zásad práce s účinnými léčivými látkami</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 xml:space="preserve">a) Vysvětlit pojem účinné léčivé  látky (Active Pharmaceutical  Ingredients – API) na konkrétních příkladech</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 xml:space="preserve">b) Uvést  zásady  ochrany pracovníka při práci s vysoce účinnými léčivými látkami</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Písemné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c) Vysvětlit principy ochrany životního prostředí při práci s API</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Písemné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20.4.2026 23:56:28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postup  stanovení obsahu  účinné látky v léčivém přípravku a uvést základní principy a nejběžnější postupy stanovení obsahu API v různých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 xml:space="preserve">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provádění stabilitních testů, uvést různé typy stabilitních studií a příklady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zásady přípravy pro provádění simulačních testů ve sterilní výrobě a jejich vyhodnocení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důvody a postupy sledování mikrobiologické zátěže ve sterilní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zadané kapitoly analytického hodnocení v platném Českém lékopisu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pojmy analytický deník a analytický certifikát</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 xml:space="preserve">a) Stanovit  optickou otáčivost včetně provedení výpočtů a zapsat tuto činnost  do připraveného vzoru záznamové dokumentace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 xml:space="preserve">b) Změřit  hustotu připraveného vzorku  podle Standardního operačního postupu  (SOP) a zapsat tuto činnost  do připraveného vzoru záznamové dokumentace</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 xml:space="preserve">c) Stanovit  obsah  standardů  kyseliny octové  podle SOP a příslušné normy a zapsat tuto činnost do připraveného vzoru záznamové dokumentace</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831" w:hRule="exact" w:wrap="none" w:vAnchor="page" w:hAnchor="margin" w:x="45" w:y="10014"/>
        <w:rPr>
          <w:rStyle w:val="C3"/>
          <w:rtl w:val="0"/>
        </w:rPr>
      </w:pPr>
    </w:p>
    <w:p>
      <w:pPr>
        <w:pStyle w:val="P17"/>
        <w:framePr w:w="6658" w:h="704" w:hRule="exact" w:wrap="none" w:vAnchor="page" w:hAnchor="margin" w:x="71" w:y="10070"/>
        <w:rPr>
          <w:rStyle w:val="C13"/>
          <w:rtl w:val="0"/>
        </w:rPr>
      </w:pPr>
      <w:r>
        <w:rPr>
          <w:rStyle w:val="C13"/>
          <w:rtl w:val="0"/>
        </w:rPr>
        <w:t xml:space="preserve">d) Zkontrolovat kompletnost a správnost  obalového materiálu hotového léčivého přípravku podle SOP a příslušné normy a zapsat tuto činnost do připraveného vzoru záznamové dokumentace</w:t>
      </w:r>
    </w:p>
    <w:p>
      <w:pPr>
        <w:pStyle w:val="P30"/>
        <w:framePr w:w="3921" w:h="831" w:hRule="exact" w:wrap="none" w:vAnchor="page" w:hAnchor="margin" w:x="6800" w:y="10014"/>
        <w:rPr>
          <w:rStyle w:val="C3"/>
          <w:rtl w:val="0"/>
        </w:rPr>
      </w:pPr>
    </w:p>
    <w:p>
      <w:pPr>
        <w:pStyle w:val="P31"/>
        <w:framePr w:w="3839" w:h="704" w:hRule="exact" w:wrap="none" w:vAnchor="page" w:hAnchor="margin" w:x="6856" w:y="10070"/>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e) Připravit 200 ml roztoku dezinfekčního prostředku dle SOP</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Vzorkování materiálů v chemicko-farmaceutické praxi</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Popsat odběr vzorků materiálů podle typu materiálu</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 xml:space="preserve">Písemné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Provést odběr vzorku z originálního obalu podle SOP</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provedení</w:t>
      </w:r>
    </w:p>
    <w:p>
      <w:pPr>
        <w:pStyle w:val="P12"/>
        <w:framePr w:w="6710" w:h="383" w:hRule="exact" w:wrap="none" w:vAnchor="page" w:hAnchor="margin" w:x="45" w:y="13338"/>
        <w:rPr>
          <w:rStyle w:val="C3"/>
          <w:rtl w:val="0"/>
        </w:rPr>
      </w:pPr>
    </w:p>
    <w:p>
      <w:pPr>
        <w:pStyle w:val="P13"/>
        <w:framePr w:w="6658" w:h="256" w:hRule="exact" w:wrap="none" w:vAnchor="page" w:hAnchor="margin" w:x="71" w:y="13394"/>
        <w:rPr>
          <w:rStyle w:val="C11"/>
          <w:rtl w:val="0"/>
        </w:rPr>
      </w:pPr>
      <w:r>
        <w:rPr>
          <w:rStyle w:val="C11"/>
          <w:rtl w:val="0"/>
        </w:rPr>
        <w:t>c) Vysvětlit princip propouštění materiálů do výroby, jejich značení a evidenci</w:t>
      </w:r>
    </w:p>
    <w:p>
      <w:pPr>
        <w:pStyle w:val="P28"/>
        <w:framePr w:w="3921" w:h="383" w:hRule="exact" w:wrap="none" w:vAnchor="page" w:hAnchor="margin" w:x="6800" w:y="13338"/>
        <w:rPr>
          <w:rStyle w:val="C3"/>
          <w:rtl w:val="0"/>
        </w:rPr>
      </w:pPr>
    </w:p>
    <w:p>
      <w:pPr>
        <w:pStyle w:val="P29"/>
        <w:framePr w:w="3839" w:h="256"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20.4.2026 23:56:28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zásady osobní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Vyplnit předložené vzorové dokumenty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 xml:space="preserve">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kalibraci vah dle SOP</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20.4.2026 23:56:28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http://katalog.nsp.cz/karta_p.aspx?id_jp=102784&amp;kod_sm1=34).</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analytik, 20.4.2026 23:56:28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 z toho minimálně 1 rok v období posledních dvou let před podáním žádosti o udělení autorizace.</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 z toho minimálně 1 rok v období posledních dvou let před podáním žádosti o udělení autorizace.</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odpovídajících odborných předmětů, z toho minimálně 1 rok v období posledních dvou let před podáním žádosti o udělení autorizace</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28-094-M Chemicko-farmaceutický analytik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chemie nebo farmacie, z toho minimálně 1 rok v období posledních dvou let před podáním žádosti o udělení autorizace.</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20.4.2026 23:56:28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97"/>
        <w:rPr>
          <w:rStyle w:val="C3"/>
          <w:rtl w:val="0"/>
        </w:rPr>
      </w:pPr>
    </w:p>
    <w:p>
      <w:pPr>
        <w:pStyle w:val="P35"/>
        <w:framePr w:w="10710" w:h="340" w:hRule="exact" w:wrap="none" w:vAnchor="page" w:hAnchor="margin" w:x="28" w:y="9297"/>
        <w:rPr>
          <w:rStyle w:val="C25"/>
          <w:rtl w:val="0"/>
        </w:rPr>
      </w:pPr>
      <w:r>
        <w:rPr>
          <w:rStyle w:val="C25"/>
          <w:rtl w:val="0"/>
        </w:rPr>
        <w:t>Doba přípravy na zkoušku</w:t>
      </w:r>
    </w:p>
    <w:p>
      <w:pPr>
        <w:keepNext w:val="0"/>
        <w:keepLines w:val="0"/>
        <w:framePr w:w="10766" w:h="1036" w:hRule="exact" w:wrap="none" w:vAnchor="page" w:hAnchor="margin" w:x="0" w:y="9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0900"/>
        <w:rPr>
          <w:rStyle w:val="C3"/>
          <w:rtl w:val="0"/>
        </w:rPr>
      </w:pPr>
    </w:p>
    <w:p>
      <w:pPr>
        <w:pStyle w:val="P35"/>
        <w:framePr w:w="10710" w:h="340" w:hRule="exact" w:wrap="none" w:vAnchor="page" w:hAnchor="margin" w:x="28" w:y="10900"/>
        <w:rPr>
          <w:rStyle w:val="C25"/>
          <w:rtl w:val="0"/>
        </w:rPr>
      </w:pPr>
      <w:r>
        <w:rPr>
          <w:rStyle w:val="C25"/>
          <w:rtl w:val="0"/>
        </w:rPr>
        <w:t>Doba pro vykonání zkoušky</w:t>
      </w:r>
    </w:p>
    <w:p>
      <w:pPr>
        <w:keepNext w:val="0"/>
        <w:keepLines w:val="0"/>
        <w:framePr w:w="10766" w:h="806" w:hRule="exact" w:wrap="none" w:vAnchor="page" w:hAnchor="margin" w:x="0" w:y="112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Chemicko-farmaceutický analytik, 20.4.2026 23:56:28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analytik, 20.4.2026 23:56:28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E337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BED0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379A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