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43DB" Type="http://schemas.openxmlformats.org/officeDocument/2006/relationships/officeDocument" Target="/word/document.xml" /><Relationship Id="coreR4D143DB" Type="http://schemas.openxmlformats.org/package/2006/relationships/metadata/core-properties" Target="/docProps/core.xml" /><Relationship Id="customR4D143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Narážeč/narážečka (kód: 21-069-H)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zařízení nárazišť svislé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Vydávání návěští pro provoz těžního zařízení svislé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dopravních a strojních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Doprava osob jámou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břemen nadměrné hmotnosti a rozměrů jámou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Narážeč/narážečka, 22.10.2026 7:45:09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zařízení nárazišť svislé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zařízení nárazišť v dole, vysvětlit účel a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Ověřit provozuschopnost zařízení nárazišť v dole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Vydávání návěští pro provoz těžního zařízení svislé dopravy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jednotlivé návěštní zařízení v dole a vysvětlit jejich funkci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význam návěstí ve svislé dopravě v dole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Popsat zařízení a zásady pro komunikaci se strojníkem těžního stroje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Předvést používání návěštních zařízení v dole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Obsluha dopravních a strojních zařízení v dole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zásady bezpečnosti při obsluze zařízení náraziště v dole</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831" w:hRule="exact" w:wrap="none" w:vAnchor="page" w:hAnchor="margin" w:x="45" w:y="9121"/>
        <w:rPr>
          <w:rStyle w:val="C3"/>
          <w:rtl w:val="0"/>
        </w:rPr>
      </w:pPr>
    </w:p>
    <w:p>
      <w:pPr>
        <w:pStyle w:val="P17"/>
        <w:framePr w:w="6658" w:h="704" w:hRule="exact" w:wrap="none" w:vAnchor="page" w:hAnchor="margin" w:x="71" w:y="9177"/>
        <w:rPr>
          <w:rStyle w:val="C13"/>
          <w:rtl w:val="0"/>
        </w:rPr>
      </w:pPr>
      <w:r>
        <w:rPr>
          <w:rStyle w:val="C13"/>
          <w:rtl w:val="0"/>
        </w:rPr>
        <w:t>b) Obsluhovat zařízení nárazišť v dole při provozu (dvířka dopravních nádob, aretační zařízení v dopravní nádobě a nárazištích, zátyňová dvířka, sklápěcí můstky, zatažení materiálu do prostoru náraziště, vzduchové vrátky)</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obě kritéria.</w:t>
      </w:r>
    </w:p>
    <w:p>
      <w:pPr>
        <w:pStyle w:val="P23"/>
        <w:framePr w:w="10710" w:h="340" w:hRule="exact" w:wrap="none" w:vAnchor="page" w:hAnchor="margin" w:x="28" w:y="10501"/>
        <w:rPr>
          <w:rStyle w:val="C18"/>
          <w:rtl w:val="0"/>
        </w:rPr>
      </w:pPr>
      <w:r>
        <w:rPr>
          <w:rStyle w:val="C18"/>
          <w:rtl w:val="0"/>
        </w:rPr>
        <w:t>Doprava osob jámou</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Popsat zásady bezpečnosti při provádění dopravy osob v dole dle Řádu o jízdě na laně v dole</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Ústní ověření</w:t>
      </w:r>
    </w:p>
    <w:p>
      <w:pPr>
        <w:pStyle w:val="P32"/>
        <w:framePr w:w="10710" w:h="248" w:hRule="exact" w:wrap="none" w:vAnchor="page" w:hAnchor="margin" w:x="28" w:y="12037"/>
        <w:rPr>
          <w:rStyle w:val="C23"/>
          <w:rtl w:val="0"/>
        </w:rPr>
      </w:pPr>
      <w:r>
        <w:rPr>
          <w:rStyle w:val="C23"/>
          <w:rtl w:val="0"/>
        </w:rPr>
        <w:t>Je třeba splnit toto kritérium.</w:t>
      </w:r>
    </w:p>
    <w:p>
      <w:pPr>
        <w:pStyle w:val="P23"/>
        <w:framePr w:w="10710" w:h="340" w:hRule="exact" w:wrap="none" w:vAnchor="page" w:hAnchor="margin" w:x="28" w:y="12472"/>
        <w:rPr>
          <w:rStyle w:val="C18"/>
          <w:rtl w:val="0"/>
        </w:rPr>
      </w:pPr>
      <w:r>
        <w:rPr>
          <w:rStyle w:val="C18"/>
          <w:rtl w:val="0"/>
        </w:rPr>
        <w:t>Doprava břemen nadměrné hmotnosti a rozměrů jámou</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Definovat břemena nadměrné hmotnosti a rozměrů dle platné legislativy</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Ústní ověření</w:t>
      </w:r>
    </w:p>
    <w:p>
      <w:pPr>
        <w:pStyle w:val="P16"/>
        <w:framePr w:w="6710" w:h="831" w:hRule="exact" w:wrap="none" w:vAnchor="page" w:hAnchor="margin" w:x="45" w:y="13664"/>
        <w:rPr>
          <w:rStyle w:val="C3"/>
          <w:rtl w:val="0"/>
        </w:rPr>
      </w:pPr>
    </w:p>
    <w:p>
      <w:pPr>
        <w:pStyle w:val="P17"/>
        <w:framePr w:w="6658" w:h="704" w:hRule="exact" w:wrap="none" w:vAnchor="page" w:hAnchor="margin" w:x="71" w:y="13720"/>
        <w:rPr>
          <w:rStyle w:val="C13"/>
          <w:rtl w:val="0"/>
        </w:rPr>
      </w:pPr>
      <w:r>
        <w:rPr>
          <w:rStyle w:val="C13"/>
          <w:rtl w:val="0"/>
        </w:rPr>
        <w:t>b) Popsat možné způsoby dopravy břemen nadměrné hmotnosti a rozměrů v dole a zásady bezpečného provádění dopravy břemen nadměrné hmotnosti a rozměrů v dole</w:t>
      </w:r>
    </w:p>
    <w:p>
      <w:pPr>
        <w:pStyle w:val="P30"/>
        <w:framePr w:w="3921" w:h="831" w:hRule="exact" w:wrap="none" w:vAnchor="page" w:hAnchor="margin" w:x="6800" w:y="13664"/>
        <w:rPr>
          <w:rStyle w:val="C3"/>
          <w:rtl w:val="0"/>
        </w:rPr>
      </w:pPr>
    </w:p>
    <w:p>
      <w:pPr>
        <w:pStyle w:val="P31"/>
        <w:framePr w:w="3839" w:h="704" w:hRule="exact" w:wrap="none" w:vAnchor="page" w:hAnchor="margin" w:x="6856" w:y="13720"/>
        <w:rPr>
          <w:rStyle w:val="C22"/>
          <w:rtl w:val="0"/>
        </w:rPr>
      </w:pPr>
      <w:r>
        <w:rPr>
          <w:rStyle w:val="C22"/>
          <w:rtl w:val="0"/>
        </w:rPr>
        <w:t>Ústní ověření</w:t>
      </w:r>
    </w:p>
    <w:p>
      <w:pPr>
        <w:pStyle w:val="P32"/>
        <w:framePr w:w="10710" w:h="248" w:hRule="exact" w:wrap="none" w:vAnchor="page" w:hAnchor="margin" w:x="28" w:y="14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Narážeč/narážečka, 22.10.2026 7:45:09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výkaz o provedené práci narážeče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Narážeč/narážečka, 22.10.2026 7:45:09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415/2003 Sb., kterou se stanoví podmínky k zajištění bezpečnosti a ochrany zdraví při práci a bezpečnosti provozu při svislé dopravě a chůzi.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17"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0"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řídících činnostech v oblasti hornictví nebo ve funkci učitele praktického vyučování, z toho minimálně jeden rok v období posledních dvou let před podáním žádosti o autorizaci.</w:t>
      </w:r>
    </w:p>
    <w:p>
      <w:pPr>
        <w:keepNext w:val="0"/>
        <w:keepLines w:val="1"/>
        <w:framePr w:w="10766" w:h="5270"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řídících činnostech v oblasti hornictví nebo ve funkci učitele odborných předmětů, z toho minimálně jeden rok v období posledních dvou let před podáním žádosti o autorizaci.</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0"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1"/>
        <w:framePr w:w="10766" w:h="5270" w:hRule="exact" w:wrap="none" w:vAnchor="page" w:hAnchor="margin" w:x="0" w:y="901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Narážeč/narážečka, 22.10.2026 7:45:09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náraziště těžní jámy hlubinného dolu a na školicím pracovišti na povrchu</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náraziště těžní jámy vybavené podzemním (u slepých jam a šibíků) zařízením pro dopravu materiálu a osob</w:t>
      </w:r>
    </w:p>
    <w:p>
      <w:pPr>
        <w:keepNext w:val="0"/>
        <w:keepLines w:val="1"/>
        <w:framePr w:w="10766" w:h="41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vybavené příslušnými dokumenty (schéma dopravní nádoby, Řád o jízdě na laně, schéma zařízení nárazišť)</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34"/>
        <w:rPr>
          <w:rStyle w:val="C3"/>
          <w:rtl w:val="0"/>
        </w:rPr>
      </w:pPr>
    </w:p>
    <w:p>
      <w:pPr>
        <w:pStyle w:val="P35"/>
        <w:framePr w:w="10710" w:h="340" w:hRule="exact" w:wrap="none" w:vAnchor="page" w:hAnchor="margin" w:x="28" w:y="6834"/>
        <w:rPr>
          <w:rStyle w:val="C25"/>
          <w:rtl w:val="0"/>
        </w:rPr>
      </w:pPr>
      <w:r>
        <w:rPr>
          <w:rStyle w:val="C25"/>
          <w:rtl w:val="0"/>
        </w:rPr>
        <w:t>Doba přípravy na zkoušku</w:t>
      </w:r>
    </w:p>
    <w:p>
      <w:pPr>
        <w:keepNext w:val="0"/>
        <w:keepLines w:val="0"/>
        <w:framePr w:w="10766" w:h="1036" w:hRule="exact" w:wrap="none" w:vAnchor="page" w:hAnchor="margin" w:x="0" w:y="7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pro vykonání zkoušky</w:t>
      </w:r>
    </w:p>
    <w:p>
      <w:pPr>
        <w:keepNext w:val="0"/>
        <w:keepLines w:val="0"/>
        <w:framePr w:w="10766" w:h="80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Narážeč/narážečka, 22.10.2026 7:45:09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DIAMO,s.p.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Narážeč/narážečka, 22.10.2026 7:45:09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E8E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AE7A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2353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CC3B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DBFD5D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