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2C67D" Type="http://schemas.openxmlformats.org/officeDocument/2006/relationships/officeDocument" Target="/word/document.xml" /><Relationship Id="coreR6662C67D" Type="http://schemas.openxmlformats.org/package/2006/relationships/metadata/core-properties" Target="/docProps/core.xml" /><Relationship Id="customR6662C6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Hydraulikář/hydraulikářka v těžbě a úpravě nerostných surovin (kód: 21-071-H)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a seřizování hydraulických a pneumatických mechanismů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18.10.2026 16:34:38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http://katalog.nsp.cz/karta_p.aspx?id_jp=12). Podmínky stanoví vyhláška Českého báňského úřadu č. 22/1989 Sb., o bezpečnosti a ochraně zdraví při práci a bezpečnosti provozu při hornické činnosti a při dobývání nevyhrazených nerostů v podzemí, ve znění pozdějších předpisů, vyhláška č. 26/1989 Sb., o bezpečnosti a ochraně zdraví při práci a bezpečnosti provozu při hornické činnosti a při činnosti prováděné hornickým způsobem na povrchu, ve znění pozdějších předpisů a vyhláška č. 51/1989 Sb., o bezpečnosti a ochraně zdraví při práci a bezpečnosti provozu při úpravě a zušlechťování nerostů,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18.10.2026 16:34:38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Hydraulikář/hydraulikářka v těžbě a úpravě nerostných surovin, 18.10.2026 16:34:38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