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78FB17" Type="http://schemas.openxmlformats.org/officeDocument/2006/relationships/officeDocument" Target="/word/document.xml" /><Relationship Id="coreR2578FB17" Type="http://schemas.openxmlformats.org/package/2006/relationships/metadata/core-properties" Target="/docProps/core.xml" /><Relationship Id="customR2578FB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Hydraulikář/hydraulikářka v těžbě a úpravě nerostných surovin (kód: 21-071-H)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a seřizování hydraulických a pneumatických mechanismů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28.9.2026 15:54:27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http://katalog.nsp.cz/karta_p.aspx?id_jp=12). Podmínky stanoví vyhláška Českého báňského úřadu č. 22/1989 Sb., o bezpečnosti a ochraně zdraví při práci a bezpečnosti provozu při hornické činnosti a při dobývání nevyhrazených nerostů v podzemí, ve znění pozdějších předpisů, vyhláška č. 26/1989 Sb., o bezpečnosti a ochraně zdraví při práci a bezpečnosti provozu při hornické činnosti a při činnosti prováděné hornickým způsobem na povrchu, ve znění pozdějších předpisů a vyhláška č. 51/1989 Sb., o bezpečnosti a ochraně zdraví při práci a bezpečnosti provozu při úpravě a zušlechťování nerostů,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28.9.2026 15:54:27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28.9.2026 15:54:27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