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222056" Type="http://schemas.openxmlformats.org/officeDocument/2006/relationships/officeDocument" Target="/word/document.xml" /><Relationship Id="coreR72222056" Type="http://schemas.openxmlformats.org/package/2006/relationships/metadata/core-properties" Target="/docProps/core.xml" /><Relationship Id="customR722220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Referent železniční dopravy (kód: 37-063-M)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Referent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sdělovacího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informací o vlakových spojích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smluvních přepravních podmínkách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Vypočítávání jízdného podle platných tarifů v osobní železniční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železniční dopravě a přepravě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železniční nákladní pokladny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ekonomické a účetní dokumentace na železniční stanici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Plánování a příprava železničního marketingu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dodržování přepravních podmínek na železnici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výběru vozů pro nakládku, přejímku a předávku vozů a vozových zásilek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 železniční dopravy, 2.10.2026 3:50:19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http://katalog.nsp.cz/karta_tp.aspx?id_jp=5346&amp;kod_sm1=14 ).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ke správnému provádění všech úkonů i k časovému hledisku zvládání operací.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vlakových spojích" dostane uchazeč tři úkoly zaměřené na vyhledávání spojení mezi různými místy. Nejméně jeden z úkolů je vyhledání spojení s použitím tištěných jízdních řádů, nejméně jeden z úkolů je vyhledání spojení pomocí internetu.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"Uplatňování a vyřizování reklamací v železniční dopravě a přepravě" dostane uchazeč k vyřešení jednu modelovou situaci zaměřenou na reklamaci v osobní železniční dopravě a jednu modelovou situaci zaměřenou na reklamaci v nákladní železniční dopravě.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 železniční dopravy, 2.10.2026 3:50:19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 železniční dopravy, 2.10.2026 3:50:19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