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312A13" Type="http://schemas.openxmlformats.org/officeDocument/2006/relationships/officeDocument" Target="/word/document.xml" /><Relationship Id="coreR6C312A13" Type="http://schemas.openxmlformats.org/package/2006/relationships/metadata/core-properties" Target="/docProps/core.xml" /><Relationship Id="customR6C312A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Referent železniční dopravy (kód: 37-063-M)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Referent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sdělovacího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smluvních přepravních podmínkách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osobní železniční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železniční dopravě a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železniční nákladní pokladny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ekonomické a účetní dokumentace na železniční stanici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Plánování a příprava železničního marketingu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na železnici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výběru vozů pro nakládku, přejímku a předávku vozů a vozových zásilek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 železniční dopravy,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http://katalog.nsp.cz/karta_tp.aspx?id_jp=5346&amp;kod_sm1=14 ).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osobní železniční dopravy.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správnému provádění všech úkonů i k časovému hledisku zvládání operací.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vlakových spojích" dostane uchazeč tři úkoly zaměřené na vyhledávání spojení mezi různými místy. Nejméně jeden z úkolů je vyhledání spojení s použitím tištěných jízdních řádů, nejméně jeden z úkolů je vyhledání spojení pomocí internetu.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"Uplatňování a vyřizování reklamací v železniční dopravě a přepravě" dostane uchazeč k vyřešení jednu modelovou situaci zaměřenou na reklamaci v osobní železniční dopravě a jednu modelovou situaci zaměřenou na reklamaci v nákladní železniční dopravě.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 železniční dopravy,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 železniční dopravy,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