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DB22D4" Type="http://schemas.openxmlformats.org/officeDocument/2006/relationships/officeDocument" Target="/word/document.xml" /><Relationship Id="coreR26DB22D4" Type="http://schemas.openxmlformats.org/package/2006/relationships/metadata/core-properties" Target="/docProps/core.xml" /><Relationship Id="customR26DB22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brašnářské výrobě (kód: 32-038-E)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brašnářské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výrobě brašnářských dílců a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dílců a součástí ručním a strojním šitím v brašnářské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jednoduchých úprav součástí a hotových výrobků v brašnářské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úprava vzhledu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brašnářské výrobě, 20.10.2026 6:40:59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materiálů používaných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zadá autorizovaná osoba pro ověření kritérií hodnocení počet vzorků usní, podšívkových materiálů a pomocných materiálů (v minimálním počtu 2 - maximálně 5 vzorků od každého), a to podle zaměření konkrétní kožedělné výroby a místa konání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určí způsob zpracování brašnářského výrobku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dílců a součástí ručním a strojním šitím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c) a d).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kožedělné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brašnářské výrobě, 20.10.2026 6:40:59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Leon OrthoShoes s.r.o.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brašnářské výrobě, 20.10.2026 6:40:59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