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503C2" Type="http://schemas.openxmlformats.org/officeDocument/2006/relationships/officeDocument" Target="/word/document.xml" /><Relationship Id="coreR5D4503C2" Type="http://schemas.openxmlformats.org/package/2006/relationships/metadata/core-properties" Target="/docProps/core.xml" /><Relationship Id="customR5D450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ukončené střední vzdělání s maturitní zkouškou.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úlohy, které umožní ověřit příslušná kritéria. Zkoušející také podle zaměření uchazeče zpřesní komoditní obsah zkoušky na vybrané (určené) druhy odpadů a druhotných surovin. Výběr nejméně dvou komoditně odlišných vzorků stanoví AOs podle odborného zaměření uchazeče o zkoušku.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