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47F15" Type="http://schemas.openxmlformats.org/officeDocument/2006/relationships/officeDocument" Target="/word/document.xml" /><Relationship Id="coreR8147F15" Type="http://schemas.openxmlformats.org/package/2006/relationships/metadata/core-properties" Target="/docProps/core.xml" /><Relationship Id="customR8147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14.10.2022</w:t>
      </w:r>
    </w:p>
    <w:p>
      <w:pPr>
        <w:pStyle w:val="P21"/>
        <w:framePr w:w="7654" w:h="331" w:hRule="exact" w:wrap="none" w:vAnchor="page" w:hAnchor="margin" w:x="28" w:y="15940"/>
        <w:rPr>
          <w:rStyle w:val="C16"/>
          <w:rtl w:val="0"/>
        </w:rPr>
      </w:pPr>
      <w:r>
        <w:rPr>
          <w:rStyle w:val="C16"/>
          <w:rtl w:val="0"/>
        </w:rPr>
        <w:t>Elektromontér pevných trakčních a silnoproudých zařízení, 17.8.2026 21:17:34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17.8.2026 21:17:34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17.8.2026 21:17:34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17.8.2026 21:17:34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a o elektrotechnické způsobilosti minimálně dle § 5 vyhlášky č. 50/1978 Sb., ve znění pozdějších předpisů. Dále musí předložit posudek o zdravotní způsobilosti ve smyslu vyhllášky č. 101/1995 Sb, popř. vyhlášky č. 16/2012 Sb.</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 pevných trakčních a silnoproudých zařízení, 17.8.2026 21:17:34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 pevných trakčních a silnoproudých zařízení, 17.8.2026 21:17:34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pevných trakčních a silnoproudých zařízení, 17.8.2026 21:17:34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 pevných trakčních a silnoproudých zařízení, 17.8.2026 21:17:34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5F1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6EAC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