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6D8D5C" Type="http://schemas.openxmlformats.org/officeDocument/2006/relationships/officeDocument" Target="/word/document.xml" /><Relationship Id="coreR216D8D5C" Type="http://schemas.openxmlformats.org/package/2006/relationships/metadata/core-properties" Target="/docProps/core.xml" /><Relationship Id="customR216D8D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14.10.2022</w:t>
      </w:r>
    </w:p>
    <w:p>
      <w:pPr>
        <w:pStyle w:val="P21"/>
        <w:framePr w:w="7654" w:h="331" w:hRule="exact" w:wrap="none" w:vAnchor="page" w:hAnchor="margin" w:x="28" w:y="15940"/>
        <w:rPr>
          <w:rStyle w:val="C16"/>
          <w:rtl w:val="0"/>
        </w:rPr>
      </w:pPr>
      <w:r>
        <w:rPr>
          <w:rStyle w:val="C16"/>
          <w:rtl w:val="0"/>
        </w:rPr>
        <w:t>Elektromontér pevných trakčních a silnoproudých zařízení, 18.10.2026 18:31:28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18.10.2026 18:31:28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18.10.2026 18:31:28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18.10.2026 18:31:28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a o elektrotechnické způsobilosti minimálně dle § 5 vyhlášky č. 50/1978 Sb., ve znění pozdějších předpisů. Dále musí předložit posudek o zdravotní způsobilosti ve smyslu vyhllášky č. 101/1995 Sb, popř. vyhlášky č. 16/2012 Sb.</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 pevných trakčních a silnoproudých zařízení, 18.10.2026 18:31:28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 pevných trakčních a silnoproudých zařízení, 18.10.2026 18:31:28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 pevných trakčních a silnoproudých zařízení, 18.10.2026 18:31:28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 pevných trakčních a silnoproudých zařízení, 18.10.2026 18:31:28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1C8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5372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