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074EA3" Type="http://schemas.openxmlformats.org/officeDocument/2006/relationships/officeDocument" Target="/word/document.xml" /><Relationship Id="coreR29074EA3" Type="http://schemas.openxmlformats.org/package/2006/relationships/metadata/core-properties" Target="/docProps/core.xml" /><Relationship Id="customR29074E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20.8.2026 21:48:46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týkající se výkonu povolání v rámci této profesní kvalifikace stanoví příslušné báňské předpisy, zejména vyhláška č. 22/1989 Sb., vyhl. č. 26/1989 Sb., a vyhl. č. 51/1989 Sb., ve znění pozdějších předpisů..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hodnocení, u kterých je jako způsob ověření uvedeno praktické předvedení a ústní ověření, uchazeč prakticky předvádí daný úkol dle zadání a poté je v případě potřeby zkušební komisí dotazován.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20.8.2026 21:48:46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20.8.2026 21:48:46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