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1B8E8" Type="http://schemas.openxmlformats.org/officeDocument/2006/relationships/officeDocument" Target="/word/document.xml" /><Relationship Id="coreR30A1B8E8" Type="http://schemas.openxmlformats.org/package/2006/relationships/metadata/core-properties" Target="/docProps/core.xml" /><Relationship Id="customR30A1B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11:01:16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příslušné báňské předpisy, zejména vyhláška č. 22/1989 Sb., vyhl. č. 26/1989 Sb., a vyhl. č. 51/1989 Sb.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11:01:16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11:01:16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