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A4AE0" Type="http://schemas.openxmlformats.org/officeDocument/2006/relationships/officeDocument" Target="/word/document.xml" /><Relationship Id="coreR351A4AE0" Type="http://schemas.openxmlformats.org/package/2006/relationships/metadata/core-properties" Target="/docProps/core.xml" /><Relationship Id="customR351A4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20.10.2026 11:00:10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úrp letadla. Ve vyjádřeních kritérií hodnocení způsobilostí týkajících se tváření, lepení a úprav povrchů dílů letadla se pro účely zkoušky předpokládá velikost dílců cca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20.10.2026 11:00:10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20.10.2026 11:00:10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