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8C9B0" Type="http://schemas.openxmlformats.org/officeDocument/2006/relationships/officeDocument" Target="/word/document.xml" /><Relationship Id="coreR5AA8C9B0" Type="http://schemas.openxmlformats.org/package/2006/relationships/metadata/core-properties" Target="/docProps/core.xml" /><Relationship Id="customR5AA8C9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odpadních vod (kód: 36-167-M)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kanalizační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na kanalizační síti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odpadních vod, 30.9.2026 6:54:30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Kompetence: Orientace ve vodohospodářské legislativě a předpisech souvisejících s provozováním kanalizace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18, 19, 20, 21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kanalizační sítě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provozní schéma kanalizace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kanalizační sítě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(tlaky, hladiny v akumulacích, chody čerpadel apod.)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4) Kompetence: Vedení technickoprovozní dokumentace kanalizační sítě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technické výkresy a pasporty kanalizační sítě v listinné a elektronické podobě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na kanalizační síti včetně komunikace se zákazníky, např.: porucha na kanalizační síti, objektu, čerpací stanici odpadních vod apod. Modelové situace jednání např. s objektivně nespokojeným či verbálně hrubým zákazníkem.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u konkrétní čistírny odpadních vod nebo kanalizační sítě).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odpadních vod, 30.9.2026 6:54:30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odpadních vod, 30.9.2026 6:54:30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