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A8EF5" Type="http://schemas.openxmlformats.org/officeDocument/2006/relationships/officeDocument" Target="/word/document.xml" /><Relationship Id="coreR45EA8EF5" Type="http://schemas.openxmlformats.org/package/2006/relationships/metadata/core-properties" Target="/docProps/core.xml" /><Relationship Id="customR45EA8E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Degustace vín při prodeji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06.02.2012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souladu s platnými právními předpisy.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 / autorizovaný zástupce předem připraví a rozpracuje na základě daných kritérií.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 ve spolupráci se SR pro zemědělství.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Vinařská akademie Valtice,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