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1D36BEF" Type="http://schemas.openxmlformats.org/officeDocument/2006/relationships/officeDocument" Target="/word/document.xml" /><Relationship Id="coreR51D36BEF" Type="http://schemas.openxmlformats.org/package/2006/relationships/metadata/core-properties" Target="/docProps/core.xml" /><Relationship Id="customR51D36BE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vnějších potrubních rozvodů z oceli (kód: 36-086-H)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potrubních rozvodů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a ochrany zdraví při práci, požární ochrana, nakládání s odpady ze stavebních materiálů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Orientace v projektové dokumentaci, v právních a technických předpisech a obecných požadavcích na výstavbu potrubních systémů</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Doprava, skladování, kontrola trubního materiálu, nářadí, přípravků, pracovních pomůcek</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Dodržování technologie montážních a zemních prací, sestavování a montáže plynových rozvodů a zařízení</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Příprava ke spojování potrubních systémů z ocele</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Údržba, opravy a uvádění plynových zařízení do provozu</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7"/>
        <w:framePr w:w="8788" w:h="340" w:hRule="exact" w:wrap="none" w:vAnchor="page" w:hAnchor="margin" w:x="28" w:y="8334"/>
        <w:rPr>
          <w:rStyle w:val="C8"/>
          <w:rtl w:val="0"/>
        </w:rPr>
      </w:pPr>
      <w:r>
        <w:rPr>
          <w:rStyle w:val="C8"/>
          <w:rtl w:val="0"/>
        </w:rPr>
        <w:t>Platnost standardu</w:t>
      </w:r>
    </w:p>
    <w:p>
      <w:pPr>
        <w:pStyle w:val="P20"/>
        <w:framePr w:w="2928" w:h="248" w:hRule="exact" w:wrap="none" w:vAnchor="page" w:hAnchor="margin" w:x="28" w:y="867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Montér/montérka vnějších potrubních rozvodů z oceli, 17.6.2026 13:25:19</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9166"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https://www.nsp.cz/jednotka-prace/monter-potrubnich-rozvodu#zdravotni-zpusobilost).</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práci na plynových rozvodech musí uchazeč splňovat odbornou způsobilost podle vyhlášky 21/1979 Sb. (u hornických činností rovněž podle 392/2003), kterou se určují vyhrazená plynová zařízení a stanoví některé podmínky k zajištění jejich bezpečnosti (viz http://katalog.nsp.cz/pripravaACertifikaty.aspx?kod_sm1=41&amp;id_jp=102084).</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všech zásad BOZP a PO v jejím průběhu.</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kompetencí je třeba dbát ustanovení platných norem a technických pravidel. S ohledem na charakter některých pracovních činností při ověřování způsobilosti uchazeče zajistit pro tuto činnost uchazeči pomoc další osoby. Pro splnění požadovaného úkolu zajistí autorizovaná osoba projektovou dokumentaci, předepsané technologické postupy a materiál související s hodnocenými činnostmi.</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praktických dovedností je kromě hodnocení kvality a výsledku práce hodnocena také organizace práce, volba a dodržování předepsaných technologických a pracovních postupů, volba pracovních pomůcek, dodržování předpisů BOZP a PO, používání osobních ochranných pracovních prostředků, hygiena práce a péče o životní prostředí.</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u zkoušky vlastní pracovní oděv a obuv. Osobní ochranné pracovní pomůcky odpovídající prováděným pracím zabezpečuje autorizovaná osoba.</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Zkouška proběhne v simulovaném prostředí – dílna (v reálném prostředí nelze).</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Průběh zkoušky:</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Uchazeč si vylosuje před zahájením zkoušky číslo zadávací dokumentace pro zkoušku (situace, technická zpráva, zadání pro praktické ověření, seznam souvisejících otázek dle jednotlivých kritérií). Zadávající po přečtení uchazečem případně dovysvětlí zadávací dokumentaci tak, aby uchazeč zjevně pochopil zadání.</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Uchazeči bude umožněna příprava v délce 60 minut, pro písemné poznámky na přípravu obdrží volné listy papírů orazítkované autorizovanou osobou.</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 Uchazeč po proškolení bude uveden do dílny a v časovém limitu max. 5 hodin provede praktické předvedení zadaného úkolu.</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4) Uchazeč při následné ústní zkoušce podá vysvětlení (odpovědi na dotazy k praktickému provedení a postupu prací, zodpoví zadané otázky dle jednotlivých kritérií).</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Všichni členové zkušební komise musí být přítomni u zkoušky po celou dobu zkoušení uchazečů.</w:t>
      </w:r>
    </w:p>
    <w:p>
      <w:pPr>
        <w:pStyle w:val="P21"/>
        <w:framePr w:w="7654" w:h="331" w:hRule="exact" w:wrap="none" w:vAnchor="page" w:hAnchor="margin" w:x="28" w:y="15940"/>
        <w:rPr>
          <w:rStyle w:val="C16"/>
          <w:rtl w:val="0"/>
        </w:rPr>
      </w:pPr>
      <w:r>
        <w:rPr>
          <w:rStyle w:val="C16"/>
          <w:rtl w:val="0"/>
        </w:rPr>
        <w:t>Montér/montérka vnějších potrubních rozvodů z oceli, 17.6.2026 13:25:19</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vyhrazená zařízení, ustavená a licencovaná pro tuto činnost HK ČR a SP ČR.</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stavitelů plynovodů a produktovodů</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plynárenský svaz</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 plynárenské Pardubice</w:t>
      </w:r>
    </w:p>
    <w:p>
      <w:pPr>
        <w:pStyle w:val="P21"/>
        <w:framePr w:w="7654" w:h="331" w:hRule="exact" w:wrap="none" w:vAnchor="page" w:hAnchor="margin" w:x="28" w:y="15940"/>
        <w:rPr>
          <w:rStyle w:val="C16"/>
          <w:rtl w:val="0"/>
        </w:rPr>
      </w:pPr>
      <w:r>
        <w:rPr>
          <w:rStyle w:val="C16"/>
          <w:rtl w:val="0"/>
        </w:rPr>
        <w:t>Montér/montérka vnějších potrubních rozvodů z oceli, 17.6.2026 13:25:19</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