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CA9AFD" Type="http://schemas.openxmlformats.org/officeDocument/2006/relationships/officeDocument" Target="/word/document.xml" /><Relationship Id="coreR32CA9AFD" Type="http://schemas.openxmlformats.org/package/2006/relationships/metadata/core-properties" Target="/docProps/core.xml" /><Relationship Id="customR32CA9A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Metalograf/metalografka (kód: 21-077-M)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Metalograf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vzorků pro metalografické strukturní 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metalografického makrostrukturního zkoumání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Metalografické zkoumání mikrostruktury pomocí světelné mikroskopie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struktury oceli, litiny a neželezných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kvalitativního a kvantitativního metalografického zkoumání mikrostruktury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strukturních vad zjištěných metalografickou analýzou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http://katalog.nsp.cz/karta_p.aspx?id_jp=103048).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 nebo ověření v provozním či simulovaném prostředí), zkoušející sdělí a nejpozději spolu s pozvánkou zašle uchazeči o zkoušku výčet kritérií, která lze s ohledem na technické a technologické podmínky autorizované osoby ověřit. Dále sdělí,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"Vyhodnocování strukturních vad" bude zvoleno zkoušené kriterium podle zaměření zkoušeného (buď slévač, hutník, nebo tvářeč).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báňská –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Materiálový a metalurgický výzkum,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