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9B2CE6" Type="http://schemas.openxmlformats.org/officeDocument/2006/relationships/officeDocument" Target="/word/document.xml" /><Relationship Id="coreR609B2CE6" Type="http://schemas.openxmlformats.org/package/2006/relationships/metadata/core-properties" Target="/docProps/core.xml" /><Relationship Id="customR609B2CE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Metalograf/metalografka (kód: 21-077-M)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Metalograf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vzorků pro metalografické strukturní šetření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Provedení metalografického makrostrukturního zkoumání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Metalografické zkoumání mikrostruktury pomocí světelné mikroskopie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Vyhodnocení struktury oceli, litiny a neželezných kovů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kvalitativního a kvantitativního metalografického zkoumání mikrostruktury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Vyhodnocování strukturních vad zjištěných metalografickou analýzou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povinné dokumentace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Metalograf/metalografka, 30.9.2026 5:44:30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http://katalog.nsp.cz/karta_p.aspx?id_jp=103048).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podle tohoto hodnoticího standardu při ověřování umožňují více kombinací splnění kritérií (protože není nutné splnit všechna kritéria nebo ověření v provozním či simulovaném prostředí), zkoušející sdělí a nejpozději spolu s pozvánkou zašle uchazeči o zkoušku výčet kritérií, která lze s ohledem na technické a technologické podmínky autorizované osoby ověřit. Dále sdělí, jaké aspekty budou sledovány při výkonu činností a při nakládání s materiálem. Z variant, které umožňuje jak tento hodnoticí standard, tak podmínky autorizované osoby si uchazeč zvolí tu, která nejvíce odpovídá jeho potřebám a zkušenostem. O zvolených variantách uchazeč informuje autorizovanou osobu, a to nejpozději v termínu, který uvede autorizovaná osoba v pozvánce.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"Vyhodnocování strukturních vad" bude zvoleno zkoušené kriterium podle zaměření zkoušeného (buď slévač, hutník, nebo tvářeč).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Metalograf/metalografka, 30.9.2026 5:44:30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báňská – Technická univerzita Ostrava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Materiálový a metalurgický výzkum, s. r. o., Ostrava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kováren ČR,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Metalograf/metalografka, 30.9.2026 5:44:30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