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8B9956" Type="http://schemas.openxmlformats.org/officeDocument/2006/relationships/officeDocument" Target="/word/document.xml" /><Relationship Id="coreR278B9956" Type="http://schemas.openxmlformats.org/package/2006/relationships/metadata/core-properties" Target="/docProps/core.xml" /><Relationship Id="customR278B99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Metalograf (kód: 21-077-M)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Metalograf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vzorků pro metalografické strukturní 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Provedení metalografického makrostrukturního zkoumání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Metalografické zkoumání mikrostruktury pomocí světelné mikroskopie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struktury oceli, litiny a neželezných kovů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kvalitativního a kvantitativního metalografického zkoumání mikrostruktury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strukturních vad zjištěných metalografickou analýzou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Metalograf, 22.10.2026 9:24:17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http://katalog.nsp.cz/karta_p.aspx?id_jp=103048).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(protože není nutné splnit všechna kritéria nebo ověření v provozním či simulovaném prostředí), zkoušející sdělí a nejpozději spolu s pozvánkou zašle uchazeči o zkoušku výčet kritérií, která lze s ohledem na technické a technologické podmínky autorizované osoby ověřit. Dále sdělí, jaké aspekty budou sledovány při výkonu činností a při nakládání s materiálem. 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"Vyhodnocování strukturních vad" bude zvoleno zkoušené kriterium podle zaměření zkoušeného (buď slévač, hutník, nebo tvářeč).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Metalograf, 22.10.2026 9:24:17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báňská – Technická univerzita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Materiálový a metalurgický výzkum,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Metalograf, 22.10.2026 9:24:17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