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0A338" Type="http://schemas.openxmlformats.org/officeDocument/2006/relationships/officeDocument" Target="/word/document.xml" /><Relationship Id="coreR2030A338" Type="http://schemas.openxmlformats.org/package/2006/relationships/metadata/core-properties" Target="/docProps/core.xml" /><Relationship Id="customR2030A3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Metalograf/metalografka (kód: 21-077-M)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Metalograf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vzorků pro metalografické strukturní 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metalografického makrostrukturního zkoumání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Metalografické zkoumání mikrostruktury pomocí světelné mikroskopie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struktury oceli, litiny a neželezných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kvalitativního a kvantitativního metalografického zkoumání mikrostruktury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strukturních vad zjištěných metalografickou analýzou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http://katalog.nsp.cz/karta_p.aspx?id_jp=103048).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 nebo ověření v provozním či simulovaném prostředí), zkoušející sdělí a nejpozději spolu s pozvánkou zašle uchazeči o zkoušku výčet kritérií, která lze s ohledem na technické a technologické podmínky autorizované osoby ověřit. Dále sdělí,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"Vyhodnocování strukturních vad" bude zvoleno zkoušené kriterium podle zaměření zkoušeného (buď slévač, hutník, nebo tvářeč).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báňská –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Materiálový a metalurgický výzkum,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