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A59BD" Type="http://schemas.openxmlformats.org/officeDocument/2006/relationships/officeDocument" Target="/word/document.xml" /><Relationship Id="coreR55CA59BD" Type="http://schemas.openxmlformats.org/package/2006/relationships/metadata/core-properties" Target="/docProps/core.xml" /><Relationship Id="customR55CA59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pestrou malbou, 20.10.2026 8:49:58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20.10.2026 8:49:58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20.10.2026 8:49:58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pestrou malbou, 20.10.2026 8:49:58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28-091-H Malíř skla dekoratér / malířka skla dekoratérka pestrou malbou a střední vzdělání s maturitní zkouškou a alespoň 5 let odborné praxe v oblasti malby skla.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21"/>
        <w:framePr w:w="7654" w:h="331" w:hRule="exact" w:wrap="none" w:vAnchor="page" w:hAnchor="margin" w:x="28" w:y="15940"/>
        <w:rPr>
          <w:rStyle w:val="C16"/>
          <w:rtl w:val="0"/>
        </w:rPr>
      </w:pPr>
      <w:r>
        <w:rPr>
          <w:rStyle w:val="C16"/>
          <w:rtl w:val="0"/>
        </w:rPr>
        <w:t>Malíř skla dekoratér / malířka skla dekoratérka pestrou malbou, 20.10.2026 8:49:58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pestrou malbou, 20.10.2026 8:49:58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 / malířka skla dekoratérka pestrou malbou, 20.10.2026 8:49:58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355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A1F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