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5B8853" Type="http://schemas.openxmlformats.org/officeDocument/2006/relationships/officeDocument" Target="/word/document.xml" /><Relationship Id="coreR235B8853" Type="http://schemas.openxmlformats.org/package/2006/relationships/metadata/core-properties" Target="/docProps/core.xml" /><Relationship Id="customR235B88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reliéfní malbou smaltař (kód: 28-089-H)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reliéfní barvou a vysokým smaltem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Malíř skla reliéfní malbou smaltař, 28.9.2026 13:55:54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malbu skla technikou reliéfní ruční malby s vysokým smaltem</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reliéfní ruční malby a vysokým smaltem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reliéfní malbou smaltař, 28.9.2026 13:55:54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reliéfní barvou a vysokým smaltem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malbu reliéfní barvou a vysokým smaltem na sérii 6 kusů skleněných rozpracovaných polotovarů podle předloženého výkresu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reliéfní malbou smaltař, 28.9.2026 13:55:54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reliéfní malbou smaltař, 28.9.2026 13:55:54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reliéfní malbou smaltař, 28.9.2026 13:55:54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 rozpracované 2-4 kusy, typ polotovaru musí být v souladu s výrobní dokumnetací nebo referenčním vzorkem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přípravy na zkoušku</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pro vykonání zkoušky</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reliéfní malbou smaltař, 28.9.2026 13:55:54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reliéfní malbou smaltař, 28.9.2026 13:55:54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E725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8498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A3A5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