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2D24AA" Type="http://schemas.openxmlformats.org/officeDocument/2006/relationships/officeDocument" Target="/word/document.xml" /><Relationship Id="coreRF2D24AA" Type="http://schemas.openxmlformats.org/package/2006/relationships/metadata/core-properties" Target="/docProps/core.xml" /><Relationship Id="customRF2D24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alternativních pohonů motorových vozidel (kód: 23-130-M)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ochrany a ochrany životního prostředí u vozidel s plynovým 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pravidlech oprav motorových vozidel s alternativními pohony na zkapalněný uhlovodíkový plyn - Liquefied Petroleum Gas (LPG) a stlačený zemní plyn - Compressed Natural Gas (CNG)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elektrotechnických a elektronických parametrů osobních automobilů s alternativním pohonem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technické dokumentaci motorových vozidel s alternativním 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dodávky paliva – kapalná, plynná fáze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funkci systémů a bezpečnostních prvků u motorových vozidel s alternativními pohony, jejich druzích a rozdílech u LPG, resp. CNG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 xml:space="preserve">Pravidelná údržba motorového vozidla s alternativním pohonem  LPG nebo CNG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systémů alternativního pohonu LPG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Diagnostika a oprava systémů pro snižování emisí osobních vozidel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Diagnostika a oprava tlakových systémů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Kontrolní test funkce jednotlivých akčních členů po provedené opravě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Určení oblasti problému pohonu benzín - plyn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Orientace v systémech řízení motoru s pohonem plyn-nafta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"B".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plnění časového limitu zkoušky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1468A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