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78528A" Type="http://schemas.openxmlformats.org/officeDocument/2006/relationships/officeDocument" Target="/word/document.xml" /><Relationship Id="coreR7578528A" Type="http://schemas.openxmlformats.org/package/2006/relationships/metadata/core-properties" Target="/docProps/core.xml" /><Relationship Id="customR757852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poradce oprav osobních automobilů (kód: 23-123-M)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autoservisu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informačních systémech souvisejících se servisem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postupech při opravách osobního automobilu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technika se zákazníkem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základních procesech příjmu vozidla do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časovém plánu opavy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předání vozidla po opravě a nabídka dalších služeb a produktů autoservisu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Kalkulace opravy při řešení pojistné události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vybraných ustanoveních občanského zákoníku v souvislosti s opravami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zpětné vazbě spokojenosti zákazníka s činností autoopravny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http://katalog.nsp.cz/karta_tp.aspx?id_jp=30687&amp;kod_sm1=17).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vyučení v oboru automechanik (kód oboru: 23-68-H/01), mechanik opravář motorových vozidel (kód 23-68-H/01), autoelektrikář (kód oboru: 26-57-H/01) nebo odpovídající profesní kvalifikace mechanik podvozků, převodů, hnacích agregátů a příslušenství osobních automobilů, řidičské oprávnění sk. "B"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komunikaci a vystupování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technika se zákazníkem – jedná se o komunikaci v situacích: objednání vozidla na servis, přjem vozidla, řešení reklamací, nabídka doplňkových služeb, jednání o ceně opravy atd.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