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86CEB" Type="http://schemas.openxmlformats.org/officeDocument/2006/relationships/officeDocument" Target="/word/document.xml" /><Relationship Id="coreR2EF86CEB" Type="http://schemas.openxmlformats.org/package/2006/relationships/metadata/core-properties" Target="/docProps/core.xml" /><Relationship Id="customR2EF86C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odpadové hospodářství (kód: 16-015-T)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odpadového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podkladů pro plány, koncepce a opatření v odpadovém hospodářství organizace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odpadového hospodářství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odpady v organizaci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provozní dokumentace pro nakládání s odpady u původce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9:39:14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podkladů pro plány, koncepce a opatření v odpadovém hospodářství organizace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zdroje informací pro stanovení strategie, cílů, plánů a koncepce v odpadovém hospodářství organizace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„integrovaná prevence“ a „hierarchie nakládání s odpady“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klíčové indikátory, postupy jejich monitorování a vyhodnocování pro cíle a opatření v odpadovém hospodářství organizace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Doplnit příklad SWOT analýzy ke koncepci nakládání s odpady ve fiktivní organizaci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příklady zákonných povinností při třídění odpadů a další opatření zaváděná organizací podle požadavků odběratele přesahující rámec této zákonné povinnosti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Posoudit možnosti využití analýzy environmentálních nákladů při stanovení strategie k nakládání s odpady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ověření</w:t>
      </w:r>
    </w:p>
    <w:p>
      <w:pPr>
        <w:pStyle w:val="P16"/>
        <w:framePr w:w="6710" w:h="1055" w:hRule="exact" w:wrap="none" w:vAnchor="page" w:hAnchor="margin" w:x="45" w:y="10116"/>
        <w:rPr>
          <w:rStyle w:val="C3"/>
          <w:rtl w:val="0"/>
        </w:rPr>
      </w:pPr>
    </w:p>
    <w:p>
      <w:pPr>
        <w:pStyle w:val="P17"/>
        <w:framePr w:w="6658" w:h="928" w:hRule="exact" w:wrap="none" w:vAnchor="page" w:hAnchor="margin" w:x="71" w:y="10172"/>
        <w:rPr>
          <w:rStyle w:val="C13"/>
          <w:rtl w:val="0"/>
        </w:rPr>
      </w:pPr>
      <w:r>
        <w:rPr>
          <w:rStyle w:val="C13"/>
          <w:rtl w:val="0"/>
        </w:rPr>
        <w:t>d) Navrhnout cíle a opatření ke snížení množství odpadů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116"/>
        <w:rPr>
          <w:rStyle w:val="C3"/>
          <w:rtl w:val="0"/>
        </w:rPr>
      </w:pPr>
    </w:p>
    <w:p>
      <w:pPr>
        <w:pStyle w:val="P31"/>
        <w:framePr w:w="3839" w:h="928" w:hRule="exact" w:wrap="none" w:vAnchor="page" w:hAnchor="margin" w:x="6856" w:y="10172"/>
        <w:rPr>
          <w:rStyle w:val="C22"/>
          <w:rtl w:val="0"/>
        </w:rPr>
      </w:pPr>
      <w:r>
        <w:rPr>
          <w:rStyle w:val="C22"/>
          <w:rtl w:val="0"/>
        </w:rPr>
        <w:t>Praktické předvedení a 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Navrhnout strukturu a obsah školení zaměstnanců se zaměřením na předcházení vzniku odpadů a znečištění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9:39:14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bilančních modelů a Sankeyova diagramu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metodiku analýzy příčin vzniku odpadů a znečištění s využitím schématu (metodika čistší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účel studie posuzování životního cyklu (Life Cycle Assessment, LCA) a uvést její význam pro nakládání s odpady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Vysvětlit, které informace o vstupech do výrobního procesu či do procesu poskytování služeb jsou využitelné  v celém životním cyklu produktu a zejména pro popis vlastností odpadů, jejich zařazení a využití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Zajišťování odpadového hospodářství v organizaci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Rozhodnout o označení movité věci za vedlejší produkt nebo odpad na modelovém příkladu materiálového toku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principy zařízení a postupů určených k separaci a třídění odpadů a uvést příklady jejich použití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obecné schéma činností při nakládání s odpady s komentářem pro potřeby vzdělávání zaměstnanců</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1055" w:hRule="exact" w:wrap="none" w:vAnchor="page" w:hAnchor="margin" w:x="45" w:y="8576"/>
        <w:rPr>
          <w:rStyle w:val="C3"/>
          <w:rtl w:val="0"/>
        </w:rPr>
      </w:pPr>
    </w:p>
    <w:p>
      <w:pPr>
        <w:pStyle w:val="P17"/>
        <w:framePr w:w="6658" w:h="928" w:hRule="exact" w:wrap="none" w:vAnchor="page" w:hAnchor="margin" w:x="71" w:y="8632"/>
        <w:rPr>
          <w:rStyle w:val="C13"/>
          <w:rtl w:val="0"/>
        </w:rPr>
      </w:pPr>
      <w:r>
        <w:rPr>
          <w:rStyle w:val="C13"/>
          <w:rtl w:val="0"/>
        </w:rPr>
        <w:t>d) Vysvětlit definice termínů „třída nebezpečnosti“ a „kategorie nebezpečnosti“, obsah standardních vět o nebezpečnosti (tzv. H věty), pokynů pro bezpečné zacházení (tzv. P věty) a doplňující informace (tzv. EUH věty) podle nařízení CLP</w:t>
      </w:r>
    </w:p>
    <w:p>
      <w:pPr>
        <w:pStyle w:val="P30"/>
        <w:framePr w:w="3921" w:h="1055" w:hRule="exact" w:wrap="none" w:vAnchor="page" w:hAnchor="margin" w:x="6800" w:y="8576"/>
        <w:rPr>
          <w:rStyle w:val="C3"/>
          <w:rtl w:val="0"/>
        </w:rPr>
      </w:pPr>
    </w:p>
    <w:p>
      <w:pPr>
        <w:pStyle w:val="P31"/>
        <w:framePr w:w="3839" w:h="928" w:hRule="exact" w:wrap="none" w:vAnchor="page" w:hAnchor="margin" w:x="6856" w:y="8632"/>
        <w:rPr>
          <w:rStyle w:val="C22"/>
          <w:rtl w:val="0"/>
        </w:rPr>
      </w:pPr>
      <w:r>
        <w:rPr>
          <w:rStyle w:val="C22"/>
          <w:rtl w:val="0"/>
        </w:rPr>
        <w:t>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e) Popsat postup stanovený pro hodnocení nebezpečných vlastností odpadů a požadavky na zkoušení odpadů pro účely hodnocení nebezpečných vlastností odpadů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f) Popsat na příkladu postup zařazování odpadů podle katalogu odpadů</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g) Popsat označování látek nebo směsí, klasifikovaných jako nebezpečné podle nařízení CLP.</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h) Uvést dva příklady nebezpečné vlastnosti „schopnost vykazovat při nakládání s odpadem některou z nebezpečných vlastností, kterou v době vzniku neměl (HP15)“</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i) Shrnout a uvést povinnosti původce při předávání odpadů jiným osobám</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j) Uvést principy technických zařízení nebo technologií, které omezují přenos znečištění do životního prostředí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12"/>
        <w:framePr w:w="6710" w:h="607" w:hRule="exact" w:wrap="none" w:vAnchor="page" w:hAnchor="margin" w:x="45" w:y="13259"/>
        <w:rPr>
          <w:rStyle w:val="C3"/>
          <w:rtl w:val="0"/>
        </w:rPr>
      </w:pPr>
    </w:p>
    <w:p>
      <w:pPr>
        <w:pStyle w:val="P13"/>
        <w:framePr w:w="6658" w:h="480" w:hRule="exact" w:wrap="none" w:vAnchor="page" w:hAnchor="margin" w:x="71" w:y="13315"/>
        <w:rPr>
          <w:rStyle w:val="C11"/>
          <w:rtl w:val="0"/>
        </w:rPr>
      </w:pPr>
      <w:r>
        <w:rPr>
          <w:rStyle w:val="C11"/>
          <w:rtl w:val="0"/>
        </w:rPr>
        <w:t>k) Uvést, ke kterým činnostem při nakládání s odpady v organizaci je třeba mít odbornou způsobilost</w:t>
      </w:r>
    </w:p>
    <w:p>
      <w:pPr>
        <w:pStyle w:val="P28"/>
        <w:framePr w:w="3921" w:h="607" w:hRule="exact" w:wrap="none" w:vAnchor="page" w:hAnchor="margin" w:x="6800" w:y="13259"/>
        <w:rPr>
          <w:rStyle w:val="C3"/>
          <w:rtl w:val="0"/>
        </w:rPr>
      </w:pPr>
    </w:p>
    <w:p>
      <w:pPr>
        <w:pStyle w:val="P29"/>
        <w:framePr w:w="3839" w:h="480" w:hRule="exact" w:wrap="none" w:vAnchor="page" w:hAnchor="margin" w:x="6856" w:y="13315"/>
        <w:rPr>
          <w:rStyle w:val="C21"/>
          <w:rtl w:val="0"/>
        </w:rPr>
      </w:pPr>
      <w:r>
        <w:rPr>
          <w:rStyle w:val="C21"/>
          <w:rtl w:val="0"/>
        </w:rPr>
        <w:t>Ústní ověření</w:t>
      </w:r>
    </w:p>
    <w:p>
      <w:pPr>
        <w:pStyle w:val="P16"/>
        <w:framePr w:w="6710" w:h="607" w:hRule="exact" w:wrap="none" w:vAnchor="page" w:hAnchor="margin" w:x="45" w:y="13866"/>
        <w:rPr>
          <w:rStyle w:val="C3"/>
          <w:rtl w:val="0"/>
        </w:rPr>
      </w:pPr>
    </w:p>
    <w:p>
      <w:pPr>
        <w:pStyle w:val="P17"/>
        <w:framePr w:w="6658" w:h="480" w:hRule="exact" w:wrap="none" w:vAnchor="page" w:hAnchor="margin" w:x="71" w:y="13922"/>
        <w:rPr>
          <w:rStyle w:val="C13"/>
          <w:rtl w:val="0"/>
        </w:rPr>
      </w:pPr>
      <w:r>
        <w:rPr>
          <w:rStyle w:val="C13"/>
          <w:rtl w:val="0"/>
        </w:rPr>
        <w:t>l) Uvést příklady provozů, ve kterých vznikají nebezpečné karcinogenní (HP7), akutně toxické (HP6) nebo dráždivé (HP4) odpady</w:t>
      </w:r>
    </w:p>
    <w:p>
      <w:pPr>
        <w:pStyle w:val="P30"/>
        <w:framePr w:w="3921" w:h="607" w:hRule="exact" w:wrap="none" w:vAnchor="page" w:hAnchor="margin" w:x="6800" w:y="13866"/>
        <w:rPr>
          <w:rStyle w:val="C3"/>
          <w:rtl w:val="0"/>
        </w:rPr>
      </w:pPr>
    </w:p>
    <w:p>
      <w:pPr>
        <w:pStyle w:val="P31"/>
        <w:framePr w:w="3839" w:h="480" w:hRule="exact" w:wrap="none" w:vAnchor="page" w:hAnchor="margin" w:x="6856" w:y="13922"/>
        <w:rPr>
          <w:rStyle w:val="C22"/>
          <w:rtl w:val="0"/>
        </w:rPr>
      </w:pPr>
      <w:r>
        <w:rPr>
          <w:rStyle w:val="C22"/>
          <w:rtl w:val="0"/>
        </w:rPr>
        <w:t>Ústní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9:39:14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odpady v organizaci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obsah databáze pro odpadové hospodářství, která bude využita k zpracování materiálové deklarace produktu a k předávání informace zpracovateli odpadu produktu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Navrhnout obsah databáze pro vedení průběžné evidence odpadů v organizaci a pro její využití k ročnímu hlášení o produkci a nakládání s odpady a pro potřeby povolení podle zákona o integrované prevenci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obsah databáze ke sledování přenosu znečištění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Uvést, jak zajišťovat data k vyhodnocování nakládání s odpady podle požadavků zákona o odpadech</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Zpracování provozní dokumentace pro nakládání s odpady u původce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Provést interní audit modelového provozního dokumentu k nakládání s odpady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Vypracovat identifikační list nebezpečného odpadu s využitím internetu nebo dostupné databáze k získání informací o vlastnostech odpadu a harmonizované klasifikace nebezpečných chemických látek</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Vysvětlit význam technických norem a jejich účel při tvorbě provozních řádů organizace k nakládání s odpady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Uvést případy, kdy se vyžaduje zpracování provozních a manipulačních řádů při nakládání s odpady</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9:39:14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zásad pedagogiky a psychologie by zkouška měla být diskusí partnerů. Uchazeč prokáže, že má dovednosti požadované pro kvalifikační úroveň 7, to znamená, že umí organizovat a řídit činnosti, integrovat poznatky z různých oblastí a používá systémové myšlení při inovacích. Při zkoušce nemá být ověřována podrobná citace zákona, ale schopnost požadavky zákona aplikovat a dávat do souladu s požadavky jiných zákonných předpisů. Hodnocené odpovědi by vždy měly zahrnovat mj. konkrétní aplikaci znalostí v oboru odpadového hospodářství s důrazem na aplikaci aktuálně platných právních požadavků.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teoretických znalostí uchazeč může používat potřebné zdroje informací (např. texty zákonů a vyhlášek, databáze látek, odpadů, www stránky, katalogy, firemní materiály, vzorové dokumenty), jako je tomu v reálné praxi.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 podklady pro praktické ověření (provozní řád, interní normy, údaje z průběžné evidence) dostane uchazeč k dispozici v době přípravy na zkoušku.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těchto kompetencí: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podkladů pro plány, koncepce a opatření v odpadovém hospodářství organizace,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 autorizovaná osoba připraví zadání pro materiálové toky ve fiktivních organizacích v pěti průmyslových odvětvích, pro které uchazeč navrhne klíčové indikátory, postupy jejich monitorování a vyhodnocování pro cíle a opatření v odpadovém hospodářství organizace. Uchazeč při přihlášení ke zkoušce obdrží v listinné formě zadání pro jednu z organizací, dva týdny před zkouškou zašle práci v rozsahu 4-6 stran v listinné nebo elektronické podobě autorizované osobě. Autorizovaná osoba zpracuje připomínky a sdělí je týden před zkouškou uchazeči, aby se mohl připravit na obhájení práce;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autorizovaná osoba připraví tabulku SWOT analýzy k nakládání s odpady jen s jedním nebo dvěma výroky v každém poli tabulky; uchazeč tabulku doplní dalšími výroky a zdůvodní je;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 autorizovaná osoba připraví přehled environmentálních nákladů pro nakládání s odpady v organizaci a příčiny vzniku těchto odpadů; uchazeč navrhne využití těchto dat pro změny v nakládání s odpady nebo uvede, jaká další data by ke svému rozhodnutí potřeboval.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Zavádění, udržování a zdokonalování systémů environmentálního managementu,</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 autorizovaná osoba připraví modelový registr environmentálních aspektů; alespoň jeden z pěti nejvýznamnějších environmentálních aspektů by měl mít dopad na vznik odpadů; uchazeč popíše obecný postup identifikace aspektů, posoudí stanovení vztahu mezi environmentálním aspektem a dopadem v modelovém registru a navrhne cíle a opatření k řízení aspektu, který má dopad na množství a nebezpečnost vznikajících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 autorizovaná osoba připraví modelový dokument (směrnice EMS k nakládání s odpady v organizaci) v rozsahu 5-8 stran, dokument bude obsahovat 10 chyb; nejméně šest z nich musí uchazeč najít. Může se stát, že uchazeč vzhledem ke své praxi bude považovat za chybu i jiný text, než chybu záměrně připravenou. Autorizovaná osoba označení takové chyby uzná, pokud uchazeč svůj názor v diskusi zdůvodní.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Bilancování materiálových toků a využívání bilancí k řízení těchto toků,</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 autorizovaná osoba připraví schémata materiálových toků ve třech výrobních procesech, např. podle metodiky čistší produkce; uchazeč popíše důvody vzniku odpadů v jednotlivých uzlech toku v jednom z procesů a možnosti předcházení vzniku odpadů.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provozní dokumentace pro nakládání s odpady u původce,</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autorizovaná osoba připraví modelový provozní dokument, např. k separaci odpadů na místě vzniku a vytvoření místa ke shromažďování odpadů před jejich předáním, v rozsahu 3-5 stran, dokument bude obsahovat 10 chyb a nedostatků, nejméně šest z nich musí uchazeč najít. Může se stát, že uchazeč vzhledem ke své praxi bude považovat za chybu i jiný text, než chybu záměrně připravenou. Autorizovaná osoba označení takové chyby uzná, pokud uchazeč svůj názor v diskusi zdůvodní;</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autorizovaná osoba zvolí deset nebezpečných odpadů, k jednomu z nich uchazeč připraví identifikační list. Autorizovaná osoba zajistí přístup k údajům o odpadu (internet, jiná forma informací), který uchazeč může při zpracování identifikačního listu použít;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 uchazeč zařadí podle katalogu dva odpady, z toho jeden nebezpečný.</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9:39:14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 w:hRule="exact" w:wrap="none" w:vAnchor="page" w:hAnchor="margin" w:x="0" w:y="2154"/>
        <w:rPr>
          <w:rStyle w:val="C3"/>
          <w:rtl w:val="0"/>
        </w:rPr>
      </w:pPr>
    </w:p>
    <w:p>
      <w:pPr>
        <w:pStyle w:val="P36"/>
        <w:framePr w:w="10766" w:h="17" w:hRule="exact" w:wrap="none" w:vAnchor="page" w:hAnchor="margin" w:x="0" w:y="2154"/>
        <w:rPr>
          <w:rStyle w:val="C3"/>
          <w:rtl w:val="0"/>
        </w:rPr>
      </w:pPr>
    </w:p>
    <w:p>
      <w:pPr>
        <w:pStyle w:val="P33"/>
        <w:framePr w:w="10766" w:h="1837" w:hRule="exact" w:wrap="none" w:vAnchor="page" w:hAnchor="margin" w:x="0" w:y="2398"/>
        <w:rPr>
          <w:rStyle w:val="C3"/>
          <w:rtl w:val="0"/>
        </w:rPr>
      </w:pPr>
    </w:p>
    <w:p>
      <w:pPr>
        <w:pStyle w:val="P35"/>
        <w:framePr w:w="10710" w:h="340" w:hRule="exact" w:wrap="none" w:vAnchor="page" w:hAnchor="margin" w:x="28" w:y="2398"/>
        <w:rPr>
          <w:rStyle w:val="C25"/>
          <w:rtl w:val="0"/>
        </w:rPr>
      </w:pPr>
      <w:r>
        <w:rPr>
          <w:rStyle w:val="C25"/>
          <w:rtl w:val="0"/>
        </w:rPr>
        <w:t>Výsledné hodnocení</w:t>
      </w:r>
    </w:p>
    <w:p>
      <w:pPr>
        <w:keepNext w:val="0"/>
        <w:keepLines w:val="0"/>
        <w:framePr w:w="10766" w:h="1497" w:hRule="exact" w:wrap="none" w:vAnchor="page" w:hAnchor="margin" w:x="0" w:y="27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62"/>
        <w:rPr>
          <w:rStyle w:val="C3"/>
          <w:rtl w:val="0"/>
        </w:rPr>
      </w:pPr>
    </w:p>
    <w:p>
      <w:pPr>
        <w:pStyle w:val="P35"/>
        <w:framePr w:w="10710" w:h="340" w:hRule="exact" w:wrap="none" w:vAnchor="page" w:hAnchor="margin" w:x="28" w:y="4462"/>
        <w:rPr>
          <w:rStyle w:val="C25"/>
          <w:rtl w:val="0"/>
        </w:rPr>
      </w:pPr>
      <w:r>
        <w:rPr>
          <w:rStyle w:val="C25"/>
          <w:rtl w:val="0"/>
        </w:rPr>
        <w:t>Počet zkoušejících</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116" w:hRule="exact" w:wrap="none" w:vAnchor="page" w:hAnchor="margin" w:x="0" w:y="6301"/>
        <w:rPr>
          <w:rStyle w:val="C3"/>
          <w:rtl w:val="0"/>
        </w:rPr>
      </w:pPr>
    </w:p>
    <w:p>
      <w:pPr>
        <w:pStyle w:val="P35"/>
        <w:framePr w:w="10710" w:h="547" w:hRule="exact" w:wrap="none" w:vAnchor="page" w:hAnchor="margin" w:x="28" w:y="6301"/>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výroby nebo chemii nebo průmyslovou ekologii a minimálně 5 let praxe na pozici vyžadující odbornou způsobilost pro výkon činnosti v odpadovém hospodářství ve výrobních zařízeních nebo v zařízeních k nakládání s odpady a dále 2 roky praxe jako manažer nebo interní auditor EMS nebo QMS.</w:t>
      </w:r>
    </w:p>
    <w:p>
      <w:pPr>
        <w:keepNext w:val="0"/>
        <w:keepLines w:val="1"/>
        <w:framePr w:w="10766" w:h="7569" w:hRule="exact" w:wrap="none" w:vAnchor="page" w:hAnchor="margin" w:x="0" w:y="684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výroby nebo chemii nebo průmyslovou ekologii a minimálně 5 let pedagogické nebo lektorské činnosti v oblasti odpadového hospodářství, vykonávané souběžně s činností v odpadovém hospodářství ve výrobních zařízeních nebo v zařízeních k nakládání s odpady (např. formou práce na projektech pro tato zařízení), a dále 2 roky praxe jako manažer nebo interní auditor EMS nebo QMS.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684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6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9:39:14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s PC nebo tabletem a s připojením k internetu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chemických látek,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identifikačního listu nebezpečných odpadů, formuláře k evidenci odpadů a k hlášení o produkci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odpadech a vyhláškou o podrobnostech nakládání s odpady pro původce odpadů a pro provozovatele zařízení ke sběru nebo výkupu odpadů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odpadům pro fiktivní výrobní organizaci se zavedeným EMS</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provozního dokumentu k nakládání s odpady</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•modelový registr environmentálních aspektů </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environmentálních nákladů a příčin vzniku odpadů v organizaci</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materiálových toků</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vyplnění požadovaných hlášení či posudků v písemné nebo elektronické formě</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3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9105"/>
        <w:rPr>
          <w:rStyle w:val="C3"/>
          <w:rtl w:val="0"/>
        </w:rPr>
      </w:pPr>
    </w:p>
    <w:p>
      <w:pPr>
        <w:pStyle w:val="P35"/>
        <w:framePr w:w="10710" w:h="340" w:hRule="exact" w:wrap="none" w:vAnchor="page" w:hAnchor="margin" w:x="28" w:y="9105"/>
        <w:rPr>
          <w:rStyle w:val="C25"/>
          <w:rtl w:val="0"/>
        </w:rPr>
      </w:pPr>
      <w:r>
        <w:rPr>
          <w:rStyle w:val="C25"/>
          <w:rtl w:val="0"/>
        </w:rPr>
        <w:t>Doba přípravy na zkoušku</w:t>
      </w:r>
    </w:p>
    <w:p>
      <w:pPr>
        <w:keepNext w:val="0"/>
        <w:keepLines w:val="0"/>
        <w:framePr w:w="10766" w:h="806" w:hRule="exact" w:wrap="none" w:vAnchor="page" w:hAnchor="margin" w:x="0" w:y="94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pro vykonání zkoušky</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9:39:14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odpadové hospodářství, 17.6.2026 9:39:14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E87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D957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11B4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